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p w:rsidR="00827B66" w:rsidRDefault="00827B66" w:rsidP="00827B66">
      <w:pPr>
        <w:rPr>
          <w:noProof w:val="0"/>
        </w:rPr>
      </w:pPr>
      <w:bookmarkStart w:id="0" w:name="NGCSBookmark"/>
      <w:bookmarkEnd w:id="0"/>
    </w:p>
    <w:tbl>
      <w:tblPr>
        <w:tblStyle w:val="a9"/>
        <w:bidiVisual/>
        <w:tblW w:w="8820" w:type="dxa"/>
        <w:jc w:val="center"/>
        <w:tblLook w:val="01E0" w:firstRow="1" w:lastRow="1" w:firstColumn="1" w:lastColumn="1" w:noHBand="0" w:noVBand="0"/>
      </w:tblPr>
      <w:tblGrid>
        <w:gridCol w:w="923"/>
        <w:gridCol w:w="3219"/>
        <w:gridCol w:w="4678"/>
      </w:tblGrid>
      <w:tr w:rsidR="00827B66" w:rsidTr="00827B66">
        <w:trPr>
          <w:trHeight w:val="295"/>
          <w:jc w:val="center"/>
        </w:trPr>
        <w:tc>
          <w:tcPr>
            <w:tcW w:w="923" w:type="dxa"/>
            <w:tcBorders>
              <w:top w:val="nil"/>
              <w:left w:val="nil"/>
              <w:bottom w:val="nil"/>
              <w:right w:val="nil"/>
            </w:tcBorders>
            <w:hideMark/>
          </w:tcPr>
          <w:p w:rsidR="00827B66" w:rsidRDefault="00827B66">
            <w:pPr>
              <w:jc w:val="both"/>
              <w:rPr>
                <w:rFonts w:ascii="David" w:hAnsi="David"/>
                <w:sz w:val="26"/>
                <w:szCs w:val="26"/>
                <w:rtl/>
              </w:rPr>
            </w:pPr>
            <w:r>
              <w:rPr>
                <w:rFonts w:ascii="David" w:hAnsi="David"/>
                <w:sz w:val="26"/>
                <w:szCs w:val="26"/>
                <w:rtl/>
              </w:rPr>
              <w:t xml:space="preserve">לפני </w:t>
            </w:r>
          </w:p>
        </w:tc>
        <w:tc>
          <w:tcPr>
            <w:tcW w:w="7897" w:type="dxa"/>
            <w:gridSpan w:val="2"/>
            <w:tcBorders>
              <w:top w:val="nil"/>
              <w:left w:val="nil"/>
              <w:bottom w:val="nil"/>
              <w:right w:val="nil"/>
            </w:tcBorders>
          </w:tcPr>
          <w:p w:rsidR="00827B66" w:rsidRDefault="00827B66">
            <w:pPr>
              <w:jc w:val="both"/>
              <w:rPr>
                <w:rFonts w:ascii="David" w:hAnsi="David"/>
                <w:sz w:val="26"/>
                <w:szCs w:val="26"/>
              </w:rPr>
            </w:pPr>
          </w:p>
          <w:p w:rsidR="00827B66" w:rsidRDefault="00827B66">
            <w:pPr>
              <w:rPr>
                <w:rFonts w:ascii="David" w:hAnsi="David"/>
                <w:b/>
                <w:bCs/>
                <w:sz w:val="26"/>
                <w:szCs w:val="26"/>
              </w:rPr>
            </w:pPr>
            <w:r>
              <w:rPr>
                <w:rFonts w:ascii="David" w:hAnsi="David"/>
                <w:b/>
                <w:bCs/>
                <w:sz w:val="26"/>
                <w:szCs w:val="26"/>
                <w:rtl/>
              </w:rPr>
              <w:t>כבוד ה</w:t>
            </w:r>
            <w:sdt>
              <w:sdtPr>
                <w:rPr>
                  <w:rFonts w:ascii="David" w:hAnsi="David"/>
                  <w:b/>
                  <w:bCs/>
                  <w:sz w:val="26"/>
                  <w:szCs w:val="26"/>
                  <w:rtl/>
                </w:rPr>
                <w:alias w:val="1574"/>
                <w:tag w:val="1574"/>
                <w:id w:val="-161512264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Pr>
                    <w:rFonts w:ascii="David" w:hAnsi="David"/>
                    <w:b/>
                    <w:bCs/>
                    <w:sz w:val="26"/>
                    <w:szCs w:val="26"/>
                    <w:rtl/>
                  </w:rPr>
                  <w:t>עמי קובו – אב"ד</w:t>
                </w:r>
              </w:sdtContent>
            </w:sdt>
          </w:p>
          <w:p w:rsidR="00827B66" w:rsidRDefault="00827B66">
            <w:pPr>
              <w:rPr>
                <w:rFonts w:ascii="David" w:hAnsi="David"/>
                <w:b/>
                <w:bCs/>
                <w:sz w:val="26"/>
                <w:szCs w:val="26"/>
                <w:rtl/>
              </w:rPr>
            </w:pPr>
            <w:r>
              <w:rPr>
                <w:rFonts w:ascii="David" w:hAnsi="David"/>
                <w:b/>
                <w:bCs/>
                <w:sz w:val="26"/>
                <w:szCs w:val="26"/>
                <w:rtl/>
              </w:rPr>
              <w:t>כבוד ה</w:t>
            </w:r>
            <w:sdt>
              <w:sdtPr>
                <w:rPr>
                  <w:rFonts w:ascii="David" w:hAnsi="David"/>
                  <w:b/>
                  <w:bCs/>
                  <w:sz w:val="26"/>
                  <w:szCs w:val="26"/>
                  <w:rtl/>
                </w:rPr>
                <w:alias w:val="1574"/>
                <w:tag w:val="1574"/>
                <w:id w:val="-413942479"/>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b/>
                  <w:bCs/>
                  <w:sz w:val="26"/>
                  <w:szCs w:val="26"/>
                  <w:rtl/>
                </w:rPr>
                <w:alias w:val="1573"/>
                <w:tag w:val="1573"/>
                <w:id w:val="1708223900"/>
                <w:text w:multiLine="1"/>
              </w:sdtPr>
              <w:sdtEndPr/>
              <w:sdtContent>
                <w:r>
                  <w:rPr>
                    <w:rFonts w:ascii="David" w:hAnsi="David"/>
                    <w:b/>
                    <w:bCs/>
                    <w:sz w:val="26"/>
                    <w:szCs w:val="26"/>
                    <w:rtl/>
                  </w:rPr>
                  <w:t>מיכאל קרשן</w:t>
                </w:r>
              </w:sdtContent>
            </w:sdt>
          </w:p>
          <w:p w:rsidR="00827B66" w:rsidRDefault="00827B66">
            <w:pPr>
              <w:rPr>
                <w:rFonts w:ascii="David" w:hAnsi="David"/>
                <w:b/>
                <w:bCs/>
                <w:sz w:val="26"/>
                <w:szCs w:val="26"/>
                <w:rtl/>
              </w:rPr>
            </w:pPr>
            <w:r>
              <w:rPr>
                <w:rFonts w:ascii="David" w:hAnsi="David"/>
                <w:b/>
                <w:bCs/>
                <w:sz w:val="26"/>
                <w:szCs w:val="26"/>
                <w:rtl/>
              </w:rPr>
              <w:t>כבוד ה</w:t>
            </w:r>
            <w:sdt>
              <w:sdtPr>
                <w:rPr>
                  <w:rFonts w:ascii="David" w:hAnsi="David"/>
                  <w:b/>
                  <w:bCs/>
                  <w:sz w:val="26"/>
                  <w:szCs w:val="26"/>
                  <w:rtl/>
                </w:rPr>
                <w:alias w:val="1574"/>
                <w:tag w:val="1574"/>
                <w:id w:val="-1618672892"/>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b/>
                  <w:bCs/>
                  <w:sz w:val="26"/>
                  <w:szCs w:val="26"/>
                  <w:rtl/>
                </w:rPr>
                <w:alias w:val="1573"/>
                <w:tag w:val="1573"/>
                <w:id w:val="-244264461"/>
                <w:text w:multiLine="1"/>
              </w:sdtPr>
              <w:sdtEndPr/>
              <w:sdtContent>
                <w:r>
                  <w:rPr>
                    <w:rFonts w:ascii="David" w:hAnsi="David"/>
                    <w:b/>
                    <w:bCs/>
                    <w:sz w:val="26"/>
                    <w:szCs w:val="26"/>
                    <w:rtl/>
                  </w:rPr>
                  <w:t>מרב גרינברג</w:t>
                </w:r>
              </w:sdtContent>
            </w:sdt>
          </w:p>
          <w:p w:rsidR="00827B66" w:rsidRDefault="00827B66">
            <w:pPr>
              <w:rPr>
                <w:rFonts w:ascii="David" w:hAnsi="David"/>
                <w:sz w:val="26"/>
                <w:szCs w:val="26"/>
                <w:rtl/>
              </w:rPr>
            </w:pPr>
          </w:p>
        </w:tc>
      </w:tr>
      <w:tr w:rsidR="00827B66" w:rsidTr="00827B66">
        <w:trPr>
          <w:trHeight w:val="355"/>
          <w:jc w:val="center"/>
        </w:trPr>
        <w:tc>
          <w:tcPr>
            <w:tcW w:w="923" w:type="dxa"/>
            <w:tcBorders>
              <w:top w:val="nil"/>
              <w:left w:val="nil"/>
              <w:bottom w:val="nil"/>
              <w:right w:val="nil"/>
            </w:tcBorders>
            <w:hideMark/>
          </w:tcPr>
          <w:p w:rsidR="00827B66" w:rsidRDefault="00827B66">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827B66" w:rsidRDefault="00827B66">
            <w:pPr>
              <w:suppressLineNumbers/>
            </w:pPr>
            <w:r>
              <w:rPr>
                <w:rFonts w:ascii="Arial" w:hAnsi="Arial"/>
                <w:b/>
                <w:bCs/>
                <w:sz w:val="26"/>
                <w:szCs w:val="26"/>
                <w:rtl/>
              </w:rPr>
              <w:t>ה</w:t>
            </w:r>
            <w:sdt>
              <w:sdtPr>
                <w:rPr>
                  <w:rtl/>
                </w:rPr>
                <w:alias w:val="1180"/>
                <w:tag w:val="1180"/>
                <w:id w:val="2060665360"/>
                <w:text w:multiLine="1"/>
              </w:sdtPr>
              <w:sdtEndPr/>
              <w:sdtContent>
                <w:r>
                  <w:rPr>
                    <w:rFonts w:ascii="Arial" w:hAnsi="Arial"/>
                    <w:b/>
                    <w:bCs/>
                    <w:sz w:val="26"/>
                    <w:szCs w:val="26"/>
                    <w:rtl/>
                  </w:rPr>
                  <w:t>מאשימה</w:t>
                </w:r>
              </w:sdtContent>
            </w:sdt>
          </w:p>
          <w:p w:rsidR="00827B66" w:rsidRDefault="00827B66">
            <w:pPr>
              <w:rPr>
                <w:rFonts w:ascii="David" w:hAnsi="David"/>
                <w:sz w:val="26"/>
                <w:szCs w:val="26"/>
              </w:rPr>
            </w:pPr>
          </w:p>
        </w:tc>
        <w:tc>
          <w:tcPr>
            <w:tcW w:w="4678" w:type="dxa"/>
            <w:tcBorders>
              <w:top w:val="nil"/>
              <w:left w:val="nil"/>
              <w:bottom w:val="nil"/>
              <w:right w:val="nil"/>
            </w:tcBorders>
            <w:vAlign w:val="center"/>
          </w:tcPr>
          <w:p w:rsidR="00827B66" w:rsidRDefault="00485C9F">
            <w:pPr>
              <w:suppressLineNumbers/>
              <w:rPr>
                <w:rFonts w:ascii="Arial" w:hAnsi="Arial"/>
                <w:b/>
                <w:bCs/>
                <w:sz w:val="26"/>
                <w:szCs w:val="26"/>
              </w:rPr>
            </w:pPr>
            <w:sdt>
              <w:sdtPr>
                <w:rPr>
                  <w:rFonts w:ascii="Arial" w:hAnsi="Arial"/>
                  <w:b/>
                  <w:bCs/>
                  <w:sz w:val="26"/>
                  <w:szCs w:val="26"/>
                  <w:rtl/>
                </w:rPr>
                <w:alias w:val="3151"/>
                <w:tag w:val="3151"/>
                <w:id w:val="-1380785903"/>
                <w:placeholder>
                  <w:docPart w:val="F2C4D0A0B2F74E4DAB481A40317FB397"/>
                </w:placeholder>
                <w:text w:multiLine="1"/>
              </w:sdtPr>
              <w:sdtEndPr/>
              <w:sdtContent>
                <w:r w:rsidR="00827B66">
                  <w:rPr>
                    <w:rFonts w:ascii="Arial" w:hAnsi="Arial"/>
                    <w:b/>
                    <w:bCs/>
                    <w:sz w:val="26"/>
                    <w:szCs w:val="26"/>
                    <w:rtl/>
                  </w:rPr>
                  <w:t>מדינת ישראל</w:t>
                </w:r>
              </w:sdtContent>
            </w:sdt>
            <w:r w:rsidR="00827B66">
              <w:rPr>
                <w:rFonts w:ascii="Arial" w:hAnsi="Arial"/>
                <w:b/>
                <w:bCs/>
                <w:sz w:val="26"/>
                <w:szCs w:val="26"/>
                <w:rtl/>
              </w:rPr>
              <w:t xml:space="preserve"> </w:t>
            </w:r>
          </w:p>
          <w:p w:rsidR="00827B66" w:rsidRDefault="00827B66">
            <w:pPr>
              <w:suppressLineNumbers/>
              <w:rPr>
                <w:rFonts w:ascii="Arial" w:hAnsi="Arial"/>
                <w:rtl/>
              </w:rPr>
            </w:pPr>
            <w:r>
              <w:rPr>
                <w:rFonts w:ascii="Arial" w:hAnsi="Arial"/>
                <w:b/>
                <w:bCs/>
                <w:sz w:val="26"/>
                <w:szCs w:val="26"/>
                <w:rtl/>
              </w:rPr>
              <w:t xml:space="preserve">באמצעות פרקליטות מחוז מרכז </w:t>
            </w:r>
          </w:p>
          <w:p w:rsidR="00827B66" w:rsidRDefault="00827B66">
            <w:pPr>
              <w:suppressLineNumbers/>
              <w:rPr>
                <w:rtl/>
              </w:rPr>
            </w:pPr>
            <w:r>
              <w:rPr>
                <w:rFonts w:ascii="Arial" w:hAnsi="Arial"/>
                <w:rtl/>
              </w:rPr>
              <w:t>ע"י עו"ד</w:t>
            </w:r>
            <w:r>
              <w:rPr>
                <w:rtl/>
              </w:rPr>
              <w:t xml:space="preserve"> גל רוזנצוויג</w:t>
            </w:r>
          </w:p>
          <w:p w:rsidR="00827B66" w:rsidRDefault="00827B66">
            <w:pPr>
              <w:rPr>
                <w:rFonts w:ascii="David" w:hAnsi="David"/>
                <w:sz w:val="26"/>
                <w:szCs w:val="26"/>
              </w:rPr>
            </w:pPr>
          </w:p>
        </w:tc>
      </w:tr>
      <w:tr w:rsidR="00827B66" w:rsidTr="00827B66">
        <w:trPr>
          <w:trHeight w:val="355"/>
          <w:jc w:val="center"/>
        </w:trPr>
        <w:tc>
          <w:tcPr>
            <w:tcW w:w="923" w:type="dxa"/>
            <w:tcBorders>
              <w:top w:val="nil"/>
              <w:left w:val="nil"/>
              <w:bottom w:val="nil"/>
              <w:right w:val="nil"/>
            </w:tcBorders>
          </w:tcPr>
          <w:p w:rsidR="00827B66" w:rsidRDefault="00827B66">
            <w:pPr>
              <w:jc w:val="both"/>
              <w:rPr>
                <w:rFonts w:ascii="David" w:hAnsi="David"/>
                <w:sz w:val="26"/>
                <w:szCs w:val="26"/>
              </w:rPr>
            </w:pPr>
          </w:p>
        </w:tc>
        <w:tc>
          <w:tcPr>
            <w:tcW w:w="7897" w:type="dxa"/>
            <w:gridSpan w:val="2"/>
            <w:tcBorders>
              <w:top w:val="nil"/>
              <w:left w:val="nil"/>
              <w:bottom w:val="nil"/>
              <w:right w:val="nil"/>
            </w:tcBorders>
          </w:tcPr>
          <w:p w:rsidR="00827B66" w:rsidRDefault="00827B66">
            <w:pPr>
              <w:jc w:val="center"/>
              <w:rPr>
                <w:rFonts w:ascii="David" w:hAnsi="David"/>
                <w:b/>
                <w:bCs/>
                <w:sz w:val="26"/>
                <w:szCs w:val="26"/>
                <w:rtl/>
              </w:rPr>
            </w:pPr>
          </w:p>
          <w:p w:rsidR="00827B66" w:rsidRDefault="00827B66">
            <w:pPr>
              <w:jc w:val="center"/>
              <w:rPr>
                <w:rFonts w:ascii="David" w:hAnsi="David"/>
                <w:b/>
                <w:bCs/>
                <w:sz w:val="26"/>
                <w:szCs w:val="26"/>
                <w:rtl/>
              </w:rPr>
            </w:pPr>
            <w:r>
              <w:rPr>
                <w:rFonts w:ascii="David" w:hAnsi="David"/>
                <w:b/>
                <w:bCs/>
                <w:sz w:val="26"/>
                <w:szCs w:val="26"/>
                <w:rtl/>
              </w:rPr>
              <w:t>נגד</w:t>
            </w:r>
          </w:p>
          <w:p w:rsidR="00827B66" w:rsidRDefault="00827B66">
            <w:pPr>
              <w:jc w:val="both"/>
              <w:rPr>
                <w:rFonts w:ascii="David" w:hAnsi="David"/>
                <w:sz w:val="26"/>
                <w:szCs w:val="26"/>
                <w:rtl/>
              </w:rPr>
            </w:pPr>
          </w:p>
        </w:tc>
      </w:tr>
      <w:tr w:rsidR="00827B66" w:rsidTr="00827B66">
        <w:trPr>
          <w:trHeight w:val="355"/>
          <w:jc w:val="center"/>
        </w:trPr>
        <w:tc>
          <w:tcPr>
            <w:tcW w:w="923" w:type="dxa"/>
            <w:tcBorders>
              <w:top w:val="nil"/>
              <w:left w:val="nil"/>
              <w:bottom w:val="nil"/>
              <w:right w:val="nil"/>
            </w:tcBorders>
          </w:tcPr>
          <w:p w:rsidR="00827B66" w:rsidRDefault="00827B66">
            <w:pPr>
              <w:rPr>
                <w:rFonts w:ascii="David" w:hAnsi="David"/>
                <w:sz w:val="26"/>
                <w:szCs w:val="26"/>
              </w:rPr>
            </w:pPr>
          </w:p>
        </w:tc>
        <w:tc>
          <w:tcPr>
            <w:tcW w:w="3219" w:type="dxa"/>
            <w:tcBorders>
              <w:top w:val="nil"/>
              <w:left w:val="nil"/>
              <w:bottom w:val="nil"/>
              <w:right w:val="nil"/>
            </w:tcBorders>
            <w:hideMark/>
          </w:tcPr>
          <w:p w:rsidR="00827B66" w:rsidRDefault="00827B66">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827B66" w:rsidRDefault="00485C9F">
            <w:pPr>
              <w:suppressLineNumbers/>
              <w:rPr>
                <w:rFonts w:ascii="Arial" w:hAnsi="Arial"/>
                <w:b/>
                <w:bCs/>
                <w:sz w:val="26"/>
                <w:szCs w:val="26"/>
                <w:rtl/>
              </w:rPr>
            </w:pPr>
            <w:sdt>
              <w:sdtPr>
                <w:rPr>
                  <w:rFonts w:ascii="Arial" w:hAnsi="Arial"/>
                  <w:b/>
                  <w:bCs/>
                  <w:sz w:val="26"/>
                  <w:szCs w:val="26"/>
                  <w:rtl/>
                </w:rPr>
                <w:alias w:val="3152"/>
                <w:tag w:val="3152"/>
                <w:id w:val="-1395112415"/>
                <w:placeholder>
                  <w:docPart w:val="06D0DBDBAAB840D4AC8B7355FC71A7C2"/>
                </w:placeholder>
                <w:text w:multiLine="1"/>
              </w:sdtPr>
              <w:sdtEndPr/>
              <w:sdtContent>
                <w:r w:rsidR="00827B66">
                  <w:rPr>
                    <w:rFonts w:ascii="Arial" w:hAnsi="Arial"/>
                    <w:b/>
                    <w:bCs/>
                    <w:sz w:val="26"/>
                    <w:szCs w:val="26"/>
                    <w:rtl/>
                  </w:rPr>
                  <w:t xml:space="preserve">פלוני </w:t>
                </w:r>
              </w:sdtContent>
            </w:sdt>
            <w:r w:rsidR="00827B66">
              <w:rPr>
                <w:rFonts w:ascii="Arial" w:hAnsi="Arial"/>
                <w:b/>
                <w:bCs/>
                <w:sz w:val="26"/>
                <w:szCs w:val="26"/>
                <w:rtl/>
              </w:rPr>
              <w:t xml:space="preserve"> </w:t>
            </w:r>
          </w:p>
          <w:p w:rsidR="00827B66" w:rsidRDefault="00827B66">
            <w:pPr>
              <w:suppressLineNumbers/>
              <w:rPr>
                <w:rtl/>
              </w:rPr>
            </w:pPr>
            <w:r>
              <w:rPr>
                <w:rFonts w:ascii="Arial" w:hAnsi="Arial"/>
                <w:rtl/>
              </w:rPr>
              <w:t>ע"י עו"ד</w:t>
            </w:r>
            <w:r>
              <w:rPr>
                <w:rtl/>
              </w:rPr>
              <w:t xml:space="preserve"> פאדי חמדאן</w:t>
            </w:r>
          </w:p>
          <w:p w:rsidR="00827B66" w:rsidRDefault="00827B66">
            <w:pPr>
              <w:rPr>
                <w:rFonts w:ascii="David" w:hAnsi="David"/>
                <w:sz w:val="26"/>
                <w:szCs w:val="26"/>
              </w:rPr>
            </w:pPr>
          </w:p>
        </w:tc>
      </w:tr>
      <w:tr w:rsidR="00827B66" w:rsidTr="00827B66">
        <w:trPr>
          <w:trHeight w:val="355"/>
          <w:jc w:val="center"/>
        </w:trPr>
        <w:tc>
          <w:tcPr>
            <w:tcW w:w="923" w:type="dxa"/>
            <w:tcBorders>
              <w:top w:val="nil"/>
              <w:left w:val="nil"/>
              <w:bottom w:val="nil"/>
              <w:right w:val="nil"/>
            </w:tcBorders>
          </w:tcPr>
          <w:p w:rsidR="00827B66" w:rsidRDefault="00827B66">
            <w:pPr>
              <w:jc w:val="both"/>
              <w:rPr>
                <w:rFonts w:ascii="David" w:hAnsi="David"/>
                <w:sz w:val="26"/>
                <w:szCs w:val="26"/>
              </w:rPr>
            </w:pPr>
          </w:p>
        </w:tc>
        <w:tc>
          <w:tcPr>
            <w:tcW w:w="3219" w:type="dxa"/>
            <w:tcBorders>
              <w:top w:val="nil"/>
              <w:left w:val="nil"/>
              <w:bottom w:val="nil"/>
              <w:right w:val="nil"/>
            </w:tcBorders>
          </w:tcPr>
          <w:p w:rsidR="00827B66" w:rsidRDefault="00827B66">
            <w:pPr>
              <w:jc w:val="both"/>
              <w:rPr>
                <w:rFonts w:ascii="David" w:hAnsi="David"/>
                <w:sz w:val="26"/>
                <w:szCs w:val="26"/>
                <w:rtl/>
              </w:rPr>
            </w:pPr>
          </w:p>
        </w:tc>
        <w:tc>
          <w:tcPr>
            <w:tcW w:w="4678" w:type="dxa"/>
            <w:tcBorders>
              <w:top w:val="nil"/>
              <w:left w:val="nil"/>
              <w:bottom w:val="nil"/>
              <w:right w:val="nil"/>
            </w:tcBorders>
          </w:tcPr>
          <w:p w:rsidR="00827B66" w:rsidRDefault="00827B66">
            <w:pPr>
              <w:jc w:val="center"/>
              <w:rPr>
                <w:rFonts w:ascii="David" w:hAnsi="David"/>
                <w:sz w:val="26"/>
                <w:szCs w:val="26"/>
                <w:rtl/>
              </w:rPr>
            </w:pPr>
          </w:p>
        </w:tc>
      </w:tr>
      <w:tr w:rsidR="00827B66" w:rsidTr="00827B66">
        <w:trPr>
          <w:trHeight w:val="355"/>
          <w:jc w:val="center"/>
        </w:trPr>
        <w:tc>
          <w:tcPr>
            <w:tcW w:w="8820" w:type="dxa"/>
            <w:gridSpan w:val="3"/>
            <w:tcBorders>
              <w:top w:val="nil"/>
              <w:left w:val="nil"/>
              <w:bottom w:val="nil"/>
              <w:right w:val="nil"/>
            </w:tcBorders>
            <w:hideMark/>
          </w:tcPr>
          <w:p w:rsidR="00827B66" w:rsidRDefault="00827B66">
            <w:pPr>
              <w:jc w:val="center"/>
              <w:rPr>
                <w:rFonts w:ascii="David" w:hAnsi="David"/>
                <w:b/>
                <w:bCs/>
                <w:u w:val="single"/>
              </w:rPr>
            </w:pPr>
            <w:r>
              <w:rPr>
                <w:rFonts w:ascii="David" w:hAnsi="David"/>
                <w:b/>
                <w:bCs/>
                <w:u w:val="single"/>
                <w:rtl/>
              </w:rPr>
              <w:t>נוסח זה של גזר הדין מותר לפרסום</w:t>
            </w:r>
          </w:p>
          <w:p w:rsidR="00827B66" w:rsidRDefault="00827B66">
            <w:pPr>
              <w:jc w:val="center"/>
              <w:rPr>
                <w:rFonts w:ascii="David" w:hAnsi="David"/>
                <w:sz w:val="32"/>
                <w:szCs w:val="32"/>
                <w:u w:val="single"/>
                <w:rtl/>
              </w:rPr>
            </w:pPr>
            <w:r>
              <w:rPr>
                <w:rFonts w:ascii="David" w:hAnsi="David"/>
                <w:b/>
                <w:bCs/>
                <w:sz w:val="32"/>
                <w:szCs w:val="32"/>
                <w:u w:val="single"/>
                <w:rtl/>
              </w:rPr>
              <w:t>גזר דין</w:t>
            </w:r>
          </w:p>
        </w:tc>
      </w:tr>
    </w:tbl>
    <w:p w:rsidR="00827B66" w:rsidRDefault="00827B66" w:rsidP="00827B66">
      <w:pPr>
        <w:rPr>
          <w:rFonts w:ascii="Arial" w:hAnsi="Arial"/>
          <w:b/>
          <w:bCs/>
          <w:sz w:val="26"/>
          <w:szCs w:val="26"/>
          <w:rtl/>
        </w:rPr>
      </w:pPr>
    </w:p>
    <w:p w:rsidR="00827B66" w:rsidRDefault="00827B66" w:rsidP="00827B66">
      <w:pPr>
        <w:pStyle w:val="ad"/>
        <w:spacing w:line="360" w:lineRule="auto"/>
        <w:ind w:left="0" w:firstLine="84"/>
        <w:jc w:val="both"/>
        <w:rPr>
          <w:rFonts w:ascii="Narkisim" w:hAnsi="Narkisim" w:cs="Narkisim"/>
          <w:b/>
          <w:bCs/>
          <w:sz w:val="26"/>
          <w:szCs w:val="26"/>
          <w:u w:val="single"/>
          <w:rtl/>
        </w:rPr>
      </w:pPr>
      <w:r>
        <w:rPr>
          <w:rFonts w:ascii="Narkisim" w:hAnsi="Narkisim" w:cs="Narkisim"/>
          <w:b/>
          <w:bCs/>
          <w:sz w:val="26"/>
          <w:szCs w:val="26"/>
          <w:u w:val="single"/>
          <w:rtl/>
        </w:rPr>
        <w:t>השופט מיכאל קרשן:</w:t>
      </w:r>
    </w:p>
    <w:p w:rsidR="00827B66" w:rsidRDefault="00827B66" w:rsidP="00827B66">
      <w:pPr>
        <w:pStyle w:val="ad"/>
        <w:spacing w:line="360" w:lineRule="auto"/>
        <w:ind w:left="0" w:firstLine="84"/>
        <w:jc w:val="both"/>
        <w:rPr>
          <w:b/>
          <w:bCs/>
          <w:u w:val="single"/>
          <w:rtl/>
        </w:rPr>
      </w:pPr>
    </w:p>
    <w:p w:rsidR="00827B66" w:rsidRDefault="00827B66" w:rsidP="00827B66">
      <w:pPr>
        <w:pStyle w:val="ad"/>
        <w:spacing w:line="360" w:lineRule="auto"/>
        <w:ind w:left="0" w:firstLine="84"/>
        <w:jc w:val="both"/>
        <w:rPr>
          <w:b/>
          <w:bCs/>
          <w:sz w:val="26"/>
          <w:szCs w:val="26"/>
          <w:u w:val="single"/>
          <w:rtl/>
        </w:rPr>
      </w:pPr>
      <w:r>
        <w:rPr>
          <w:b/>
          <w:bCs/>
          <w:sz w:val="26"/>
          <w:szCs w:val="26"/>
          <w:u w:val="single"/>
          <w:rtl/>
        </w:rPr>
        <w:t>פרטי ההרשעה</w:t>
      </w:r>
    </w:p>
    <w:p w:rsidR="00827B66" w:rsidRDefault="00827B66" w:rsidP="00827B66">
      <w:pPr>
        <w:pStyle w:val="ad"/>
        <w:numPr>
          <w:ilvl w:val="0"/>
          <w:numId w:val="2"/>
        </w:numPr>
        <w:spacing w:line="360" w:lineRule="auto"/>
        <w:ind w:left="84" w:firstLine="0"/>
        <w:jc w:val="both"/>
        <w:rPr>
          <w:rFonts w:ascii="Arial" w:hAnsi="Arial"/>
          <w:b/>
          <w:bCs/>
          <w:rtl/>
        </w:rPr>
      </w:pPr>
      <w:r>
        <w:rPr>
          <w:rFonts w:ascii="David" w:hAnsi="David"/>
          <w:rtl/>
        </w:rPr>
        <w:t>הרשענו את הנאשם, תושב האזור יליד 2001, לאחר שמיעת ראיות</w:t>
      </w:r>
      <w:r>
        <w:rPr>
          <w:rFonts w:ascii="Arial" w:hAnsi="Arial"/>
          <w:rtl/>
        </w:rPr>
        <w:t>, בביצוע העבירות הבאות:</w:t>
      </w:r>
      <w:r>
        <w:rPr>
          <w:rFonts w:ascii="Arial" w:hAnsi="Arial"/>
          <w:b/>
          <w:bCs/>
          <w:rtl/>
        </w:rPr>
        <w:t xml:space="preserve"> </w:t>
      </w:r>
      <w:r>
        <w:rPr>
          <w:rFonts w:ascii="David" w:hAnsi="David"/>
          <w:b/>
          <w:bCs/>
          <w:rtl/>
        </w:rPr>
        <w:t>אינוס תוך כדי גרימת חבלה</w:t>
      </w:r>
      <w:r>
        <w:rPr>
          <w:rFonts w:ascii="David" w:hAnsi="David"/>
          <w:rtl/>
        </w:rPr>
        <w:t xml:space="preserve">, לפי סעיף 345(א)(1) בנסיבות סעיף 345(ב)(3) לחוק העונשין, התשל"ז-1977 (להלן: </w:t>
      </w:r>
      <w:r>
        <w:rPr>
          <w:rFonts w:ascii="Miriam" w:hAnsi="Miriam" w:cs="Miriam"/>
          <w:b/>
          <w:bCs/>
          <w:rtl/>
        </w:rPr>
        <w:t>החוק</w:t>
      </w:r>
      <w:r>
        <w:rPr>
          <w:rFonts w:ascii="David" w:hAnsi="David"/>
          <w:rtl/>
        </w:rPr>
        <w:t xml:space="preserve">); </w:t>
      </w:r>
      <w:r>
        <w:rPr>
          <w:rFonts w:ascii="David" w:hAnsi="David"/>
          <w:b/>
          <w:bCs/>
          <w:rtl/>
        </w:rPr>
        <w:t>מעשים מגונים תוך גרימת חבלה</w:t>
      </w:r>
      <w:r>
        <w:rPr>
          <w:rFonts w:ascii="David" w:hAnsi="David"/>
          <w:rtl/>
        </w:rPr>
        <w:t xml:space="preserve">, לפי סעיף 348(ב) בנסיבות סעיף 345(ב)(3) לחוק; </w:t>
      </w:r>
      <w:r>
        <w:rPr>
          <w:rFonts w:ascii="David" w:hAnsi="David"/>
          <w:b/>
          <w:bCs/>
          <w:rtl/>
        </w:rPr>
        <w:t>כניסה ושהייה בישראל שלא כדין</w:t>
      </w:r>
      <w:r>
        <w:rPr>
          <w:rFonts w:ascii="David" w:hAnsi="David"/>
          <w:rtl/>
        </w:rPr>
        <w:t>, לפי סעיף 12(1) לחוק הכניסה לישראל, תשי"ב-1952.</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rPr>
          <w:rFonts w:ascii="Arial" w:hAnsi="Arial"/>
          <w:b/>
          <w:bCs/>
        </w:rPr>
      </w:pPr>
      <w:r>
        <w:rPr>
          <w:rFonts w:ascii="Arial" w:hAnsi="Arial"/>
          <w:rtl/>
        </w:rPr>
        <w:t>בהכרעת הדין קבענו כי ביום 14.4.2021, בשעת בוקר, צעדה המתלוננת, קטינה כבת 16 וארבעה חודשים, בשביל בשדה המוביל ליישובה בדרכה חזרה מבית הספר. הנאשם, אשר רעה את צאנו בסמוך, הבחין בה, רץ לכיוונה, אמר לה שאינו מבין עברית טוב ושאלהּ היכן היא מתגוררת. המתלוננת השיבה שגרה בסמוך והתרחקה מן הנאשם. הנאשם קרב אליה, נעמד מולה וסימן לה שתשחק עמו במשחק "אבן, נייר ומספריים". המתלוננת חששה מהנאשם ולכן נענתה לבקשתו ולאחר מכן פנתה להמשיך בדרכה לביתה. הנאשם חסם את דרכה ודרש שתשחק עמו שוב. לאחר ששיחקו שלוש פעמים נפרדה המתלוננת מהנאשם באומרה "</w:t>
      </w:r>
      <w:r>
        <w:rPr>
          <w:rFonts w:ascii="Miriam" w:hAnsi="Miriam" w:cs="Miriam"/>
          <w:rtl/>
        </w:rPr>
        <w:t>ביי</w:t>
      </w:r>
      <w:r>
        <w:rPr>
          <w:rFonts w:ascii="Arial" w:hAnsi="Arial"/>
          <w:rtl/>
        </w:rPr>
        <w:t>", אך הנאשם השיב "</w:t>
      </w:r>
      <w:r>
        <w:rPr>
          <w:rFonts w:ascii="Miriam" w:hAnsi="Miriam" w:cs="Miriam"/>
          <w:rtl/>
        </w:rPr>
        <w:t>לא</w:t>
      </w:r>
      <w:r>
        <w:rPr>
          <w:rFonts w:ascii="Arial" w:hAnsi="Arial"/>
          <w:rtl/>
        </w:rPr>
        <w:t>".</w:t>
      </w:r>
      <w:r>
        <w:rPr>
          <w:rFonts w:ascii="Arial" w:hAnsi="Arial"/>
          <w:b/>
          <w:bCs/>
          <w:rtl/>
        </w:rPr>
        <w:t xml:space="preserve"> </w:t>
      </w:r>
    </w:p>
    <w:p w:rsidR="00827B66" w:rsidRDefault="00827B66" w:rsidP="00827B66">
      <w:pPr>
        <w:pStyle w:val="ad"/>
        <w:spacing w:line="360" w:lineRule="auto"/>
        <w:ind w:left="84"/>
        <w:jc w:val="both"/>
        <w:rPr>
          <w:rFonts w:ascii="Arial" w:hAnsi="Arial"/>
          <w:b/>
          <w:bCs/>
          <w:rtl/>
        </w:rPr>
      </w:pPr>
    </w:p>
    <w:p w:rsidR="00827B66" w:rsidRDefault="00827B66" w:rsidP="00827B66">
      <w:pPr>
        <w:pStyle w:val="ad"/>
        <w:spacing w:line="360" w:lineRule="auto"/>
        <w:ind w:left="84" w:firstLine="636"/>
        <w:jc w:val="both"/>
        <w:rPr>
          <w:rFonts w:ascii="Arial" w:hAnsi="Arial"/>
        </w:rPr>
      </w:pPr>
      <w:r>
        <w:rPr>
          <w:rFonts w:ascii="Arial" w:hAnsi="Arial"/>
          <w:rtl/>
        </w:rPr>
        <w:lastRenderedPageBreak/>
        <w:t>המתלוננת ניסתה להמשיך בדרכה לביתה. הנאשם פסע אחריה בשביל. המתלוננת שאלה את הנאשם מה רצונו. הנאשם השיב "נשיקה" והצביע על לחיו. המתלוננת סירבה לבקשת הנאשם ובתגובה תפס הנאשם אותה בכתפיה וניסה לנשקה בפיה. המתלוננת הסיטה את ראשה והנאשם נשק ללחיה. המתלוננת הדפה את הנאשם ממנה ואמרה לו "</w:t>
      </w:r>
      <w:r>
        <w:rPr>
          <w:rFonts w:ascii="Miriam" w:hAnsi="Miriam" w:cs="Miriam"/>
          <w:rtl/>
        </w:rPr>
        <w:t>חלאס</w:t>
      </w:r>
      <w:r>
        <w:rPr>
          <w:rFonts w:ascii="Arial" w:hAnsi="Arial"/>
          <w:rtl/>
        </w:rPr>
        <w:t>". הנאשם התעלם ודרש שתנשק אותו בשפתיו. המתלוננת אשר חששה מהנאשם נשקה ללחיו כדי שיתן לה להמשיך בדרכה.</w:t>
      </w:r>
    </w:p>
    <w:p w:rsidR="00827B66" w:rsidRDefault="00827B66" w:rsidP="00827B66">
      <w:pPr>
        <w:pStyle w:val="ad"/>
        <w:spacing w:line="360" w:lineRule="auto"/>
        <w:ind w:left="84"/>
        <w:jc w:val="both"/>
        <w:rPr>
          <w:rFonts w:ascii="Arial" w:hAnsi="Arial"/>
          <w:rtl/>
        </w:rPr>
      </w:pPr>
    </w:p>
    <w:p w:rsidR="00827B66" w:rsidRDefault="00827B66" w:rsidP="00827B66">
      <w:pPr>
        <w:pStyle w:val="ad"/>
        <w:spacing w:line="360" w:lineRule="auto"/>
        <w:ind w:left="84" w:firstLine="636"/>
        <w:jc w:val="both"/>
        <w:rPr>
          <w:rFonts w:ascii="Arial" w:hAnsi="Arial"/>
          <w:rtl/>
        </w:rPr>
      </w:pPr>
      <w:r>
        <w:rPr>
          <w:rFonts w:ascii="Arial" w:hAnsi="Arial"/>
          <w:rtl/>
        </w:rPr>
        <w:t>אחר זאת החלה המתלוננת לצעוד במהירות על מנת להימלט מהנאשם. הנאשם רדף אחריה, תפס אותה בצווארה, וגררה לתוך השדה. שם, כמתואר בהרחבה בהכרעת הדין, לפת הנאשם את המתלוננת מאחור, בידו האחת מישש את חזהּ בכוח, הפשיל את מכנסיה ואת תחתוניה והחדיר מספר פעמים את אצבעות ידו לאיבר מינה של המתלוננת, נגד רצונה ותוך כדי התנגדותה, כאשר ילקוט בית הספר שלה על גבה. במהלך האונס האלים זעקה המתלוננת מכאב והתחננה כי הנאשם יחדל ממעשיו – אך ללא הועיל. כל אותה העת ביקש הנאשם מהמתלוננת "</w:t>
      </w:r>
      <w:r>
        <w:rPr>
          <w:rFonts w:ascii="Miriam" w:hAnsi="Miriam" w:cs="Miriam"/>
          <w:rtl/>
        </w:rPr>
        <w:t>עוד קצת</w:t>
      </w:r>
      <w:r>
        <w:rPr>
          <w:rFonts w:ascii="Arial" w:hAnsi="Arial"/>
          <w:rtl/>
        </w:rPr>
        <w:t>", "</w:t>
      </w:r>
      <w:r>
        <w:rPr>
          <w:rFonts w:ascii="Miriam" w:hAnsi="Miriam" w:cs="Miriam"/>
          <w:rtl/>
        </w:rPr>
        <w:t>די</w:t>
      </w:r>
      <w:r>
        <w:rPr>
          <w:rFonts w:ascii="Arial" w:hAnsi="Arial"/>
          <w:rtl/>
        </w:rPr>
        <w:t>", "</w:t>
      </w:r>
      <w:r>
        <w:rPr>
          <w:rFonts w:ascii="Miriam" w:hAnsi="Miriam" w:cs="Miriam"/>
          <w:rtl/>
        </w:rPr>
        <w:t>שקט</w:t>
      </w:r>
      <w:r>
        <w:rPr>
          <w:rFonts w:ascii="Arial" w:hAnsi="Arial"/>
          <w:rtl/>
        </w:rPr>
        <w:t>", ו"</w:t>
      </w:r>
      <w:r>
        <w:rPr>
          <w:rFonts w:ascii="Miriam" w:hAnsi="Miriam" w:cs="Miriam"/>
          <w:rtl/>
        </w:rPr>
        <w:t>רק עוד קצת</w:t>
      </w:r>
      <w:r>
        <w:rPr>
          <w:rFonts w:ascii="Arial" w:hAnsi="Arial"/>
          <w:rtl/>
        </w:rPr>
        <w:t>".</w:t>
      </w:r>
    </w:p>
    <w:p w:rsidR="00827B66" w:rsidRDefault="00827B66" w:rsidP="00827B66">
      <w:pPr>
        <w:pStyle w:val="ad"/>
        <w:spacing w:line="360" w:lineRule="auto"/>
        <w:ind w:left="84" w:firstLine="636"/>
        <w:jc w:val="both"/>
        <w:rPr>
          <w:rFonts w:ascii="Arial" w:hAnsi="Arial"/>
          <w:rtl/>
        </w:rPr>
      </w:pPr>
    </w:p>
    <w:p w:rsidR="00827B66" w:rsidRDefault="00827B66" w:rsidP="00827B66">
      <w:pPr>
        <w:pStyle w:val="ad"/>
        <w:spacing w:line="360" w:lineRule="auto"/>
        <w:ind w:left="84" w:firstLine="636"/>
        <w:jc w:val="both"/>
        <w:rPr>
          <w:rFonts w:ascii="Arial" w:hAnsi="Arial"/>
          <w:rtl/>
        </w:rPr>
      </w:pPr>
    </w:p>
    <w:p w:rsidR="00827B66" w:rsidRDefault="00827B66" w:rsidP="00827B66">
      <w:pPr>
        <w:pStyle w:val="ad"/>
        <w:spacing w:line="360" w:lineRule="auto"/>
        <w:ind w:left="84" w:firstLine="636"/>
        <w:jc w:val="both"/>
        <w:rPr>
          <w:rFonts w:ascii="Arial" w:hAnsi="Arial"/>
          <w:rtl/>
        </w:rPr>
      </w:pPr>
      <w:r>
        <w:rPr>
          <w:rFonts w:ascii="Arial" w:hAnsi="Arial"/>
          <w:rtl/>
        </w:rPr>
        <w:t>תוך כדי האונס הצליחה המתלוננת להתקשר באמצעות הטלפון הנייד שברשותה לאביה. במהלך שיחת הטלפון המוקלטת, בה ניסתה המתלוננת להכווין את אביה למקום הִמצאה, זעקה המתלוננת תוך כדי בכי תמרורים כי אונסים אותה.</w:t>
      </w:r>
    </w:p>
    <w:p w:rsidR="00827B66" w:rsidRDefault="00827B66" w:rsidP="00827B66">
      <w:pPr>
        <w:pStyle w:val="ad"/>
        <w:spacing w:line="360" w:lineRule="auto"/>
        <w:ind w:left="84" w:firstLine="636"/>
        <w:jc w:val="both"/>
        <w:rPr>
          <w:rFonts w:ascii="Arial" w:hAnsi="Arial"/>
          <w:rtl/>
        </w:rPr>
      </w:pPr>
    </w:p>
    <w:p w:rsidR="00827B66" w:rsidRDefault="00827B66" w:rsidP="00827B66">
      <w:pPr>
        <w:pStyle w:val="ad"/>
        <w:spacing w:line="360" w:lineRule="auto"/>
        <w:ind w:left="84" w:firstLine="636"/>
        <w:jc w:val="both"/>
        <w:rPr>
          <w:rFonts w:ascii="Arial" w:hAnsi="Arial"/>
          <w:rtl/>
        </w:rPr>
      </w:pPr>
      <w:r>
        <w:rPr>
          <w:rFonts w:ascii="Arial" w:hAnsi="Arial"/>
          <w:rtl/>
        </w:rPr>
        <w:t>בתום האונס השליך הנאשם את המתלוננת ארצה וברח מן המקום.</w:t>
      </w:r>
    </w:p>
    <w:p w:rsidR="00827B66" w:rsidRDefault="00827B66" w:rsidP="00827B66">
      <w:pPr>
        <w:pStyle w:val="ad"/>
        <w:spacing w:line="360" w:lineRule="auto"/>
        <w:ind w:left="84" w:firstLine="636"/>
        <w:jc w:val="both"/>
        <w:rPr>
          <w:rFonts w:ascii="Arial" w:hAnsi="Arial"/>
          <w:rtl/>
        </w:rPr>
      </w:pPr>
    </w:p>
    <w:p w:rsidR="00827B66" w:rsidRDefault="00827B66" w:rsidP="00827B66">
      <w:pPr>
        <w:pStyle w:val="ad"/>
        <w:spacing w:line="360" w:lineRule="auto"/>
        <w:ind w:left="84" w:firstLine="636"/>
        <w:jc w:val="both"/>
        <w:rPr>
          <w:rFonts w:ascii="Arial" w:hAnsi="Arial"/>
          <w:rtl/>
        </w:rPr>
      </w:pPr>
      <w:r>
        <w:rPr>
          <w:rFonts w:ascii="Arial" w:hAnsi="Arial"/>
          <w:rtl/>
        </w:rPr>
        <w:t>כתוצאה ממעשי הנאשם נגרמו למתלוננת פצעי שפשוף נרחבים, שפכי דם ובצקת, אדמומיות עם נפיחות וכאבים עזים באיבר המין. בנוסף נגרם לה שפך דם תת עורי בשד השמאלי.</w:t>
      </w:r>
    </w:p>
    <w:p w:rsidR="00827B66" w:rsidRDefault="00827B66" w:rsidP="00827B66">
      <w:pPr>
        <w:pStyle w:val="ad"/>
        <w:spacing w:line="360" w:lineRule="auto"/>
        <w:ind w:left="84" w:firstLine="636"/>
        <w:jc w:val="both"/>
        <w:rPr>
          <w:rFonts w:ascii="Arial" w:hAnsi="Arial"/>
          <w:rtl/>
        </w:rPr>
      </w:pPr>
    </w:p>
    <w:p w:rsidR="00827B66" w:rsidRDefault="00827B66" w:rsidP="00827B66">
      <w:pPr>
        <w:pStyle w:val="ad"/>
        <w:numPr>
          <w:ilvl w:val="0"/>
          <w:numId w:val="2"/>
        </w:numPr>
        <w:spacing w:line="360" w:lineRule="auto"/>
        <w:ind w:left="84" w:firstLine="0"/>
        <w:jc w:val="both"/>
        <w:rPr>
          <w:rFonts w:ascii="Arial" w:hAnsi="Arial"/>
          <w:rtl/>
        </w:rPr>
      </w:pPr>
      <w:r>
        <w:rPr>
          <w:rFonts w:ascii="Arial" w:hAnsi="Arial"/>
          <w:rtl/>
        </w:rPr>
        <w:t>יש לציין כי אף שהאמנו למתלוננת כי בשלב מסוים של מעשה האונס הופשלו גם מכנסי הנאשם, קבענו בהכרעת הדין שלא הוכח במידה הנדרשת במשפט פלילי התיאור בכתב האישום, לפיו ניסה הנאשם להחדיר גם את איבר מינו לאיבר מינה של המתלוננת.</w:t>
      </w:r>
    </w:p>
    <w:p w:rsidR="00827B66" w:rsidRDefault="00827B66" w:rsidP="00827B66">
      <w:pPr>
        <w:pStyle w:val="ad"/>
        <w:spacing w:line="360" w:lineRule="auto"/>
        <w:ind w:left="84" w:firstLine="636"/>
        <w:jc w:val="both"/>
        <w:rPr>
          <w:rFonts w:ascii="Arial" w:hAnsi="Arial"/>
          <w:rtl/>
        </w:rPr>
      </w:pPr>
    </w:p>
    <w:p w:rsidR="00827B66" w:rsidRDefault="00827B66" w:rsidP="00827B66">
      <w:pPr>
        <w:pStyle w:val="ad"/>
        <w:numPr>
          <w:ilvl w:val="0"/>
          <w:numId w:val="2"/>
        </w:numPr>
        <w:spacing w:line="360" w:lineRule="auto"/>
        <w:ind w:left="84" w:firstLine="0"/>
        <w:jc w:val="both"/>
        <w:rPr>
          <w:rFonts w:ascii="Arial" w:hAnsi="Arial"/>
          <w:rtl/>
        </w:rPr>
      </w:pPr>
      <w:r>
        <w:rPr>
          <w:rFonts w:ascii="Arial" w:hAnsi="Arial"/>
          <w:rtl/>
        </w:rPr>
        <w:t>גרסת הנאשם במשפט הייתה כי המתלוננת, אותה לא הכיר עד לאירוע ושעמה לא מסוגל היה לתקשר (עקב קשיי שפה) מעבר למלים בסיסיות ומחוות גוף, חפצה באופן ספונטני שיחדיר את אצבעותיו לאיבר מינה. גרסה זו דחינו בשתי ידיים בהכרעת הדין.</w:t>
      </w:r>
    </w:p>
    <w:p w:rsidR="00827B66" w:rsidRDefault="00827B66" w:rsidP="00827B66">
      <w:pPr>
        <w:pStyle w:val="ad"/>
        <w:spacing w:line="360" w:lineRule="auto"/>
        <w:ind w:left="84"/>
        <w:jc w:val="both"/>
        <w:rPr>
          <w:rFonts w:ascii="Arial" w:hAnsi="Arial"/>
          <w:b/>
          <w:bCs/>
          <w:rtl/>
        </w:rPr>
      </w:pPr>
    </w:p>
    <w:p w:rsidR="00827B66" w:rsidRDefault="00827B66" w:rsidP="00827B66">
      <w:pPr>
        <w:spacing w:line="360" w:lineRule="auto"/>
        <w:jc w:val="both"/>
        <w:rPr>
          <w:rFonts w:ascii="Arial" w:hAnsi="Arial"/>
          <w:b/>
          <w:bCs/>
          <w:sz w:val="26"/>
          <w:szCs w:val="26"/>
          <w:u w:val="single"/>
        </w:rPr>
      </w:pPr>
      <w:r>
        <w:rPr>
          <w:rFonts w:ascii="Arial" w:hAnsi="Arial"/>
          <w:b/>
          <w:bCs/>
          <w:sz w:val="26"/>
          <w:szCs w:val="26"/>
          <w:u w:val="single"/>
          <w:rtl/>
        </w:rPr>
        <w:t>ראיות לעונש</w:t>
      </w:r>
    </w:p>
    <w:p w:rsidR="00827B66" w:rsidRDefault="00827B66" w:rsidP="00827B66">
      <w:pPr>
        <w:pStyle w:val="ad"/>
        <w:numPr>
          <w:ilvl w:val="0"/>
          <w:numId w:val="2"/>
        </w:numPr>
        <w:spacing w:line="360" w:lineRule="auto"/>
        <w:ind w:left="84" w:firstLine="0"/>
        <w:jc w:val="both"/>
        <w:rPr>
          <w:rFonts w:ascii="Arial" w:hAnsi="Arial"/>
        </w:rPr>
      </w:pPr>
      <w:r>
        <w:rPr>
          <w:rFonts w:ascii="Arial" w:hAnsi="Arial"/>
          <w:rtl/>
        </w:rPr>
        <w:lastRenderedPageBreak/>
        <w:t>אודות המתלוננת הוגש תסקיר נפגעת עבירה – [</w:t>
      </w:r>
      <w:r>
        <w:rPr>
          <w:rFonts w:ascii="Arial" w:hAnsi="Arial"/>
          <w:b/>
          <w:bCs/>
          <w:rtl/>
        </w:rPr>
        <w:t>הושמט</w:t>
      </w:r>
      <w:r>
        <w:rPr>
          <w:rFonts w:ascii="Arial" w:hAnsi="Arial"/>
          <w:rtl/>
        </w:rPr>
        <w:t xml:space="preserve">]. </w:t>
      </w:r>
    </w:p>
    <w:p w:rsidR="00827B66" w:rsidRDefault="00827B66" w:rsidP="00827B66">
      <w:pPr>
        <w:pStyle w:val="ad"/>
        <w:spacing w:line="360" w:lineRule="auto"/>
        <w:ind w:left="84"/>
        <w:jc w:val="both"/>
        <w:rPr>
          <w:rFonts w:ascii="Arial" w:hAnsi="Arial"/>
          <w:rtl/>
        </w:rPr>
      </w:pPr>
    </w:p>
    <w:p w:rsidR="00827B66" w:rsidRDefault="00827B66" w:rsidP="00827B66">
      <w:pPr>
        <w:pStyle w:val="ad"/>
        <w:numPr>
          <w:ilvl w:val="0"/>
          <w:numId w:val="2"/>
        </w:numPr>
        <w:spacing w:line="360" w:lineRule="auto"/>
        <w:ind w:left="84" w:firstLine="0"/>
        <w:jc w:val="both"/>
        <w:rPr>
          <w:rFonts w:ascii="Arial" w:hAnsi="Arial"/>
        </w:rPr>
      </w:pPr>
      <w:r>
        <w:rPr>
          <w:rtl/>
        </w:rPr>
        <w:t>אביה של המתלוננת, אשר העיד לפנינו במסגרת בירור האשמה, העיד גם לעונש. עדותו המפורטת והכואבת של האב המשיגה והמחישה לנו היטב את מצבה</w:t>
      </w:r>
      <w:r>
        <w:rPr>
          <w:color w:val="FF0000"/>
          <w:rtl/>
        </w:rPr>
        <w:t xml:space="preserve"> </w:t>
      </w:r>
      <w:r>
        <w:rPr>
          <w:rtl/>
        </w:rPr>
        <w:t>העגום של המתלוננת, נוכח השילוב בין המצב בו הייתה נתונה ערב מעשה התקיפה ובין מעשה האינוס האכזרי שביצע בה הנאשם.</w:t>
      </w:r>
      <w:r>
        <w:rPr>
          <w:rFonts w:ascii="Arial" w:hAnsi="Arial"/>
          <w:rtl/>
        </w:rPr>
        <w:t xml:space="preserve"> תוארו גם כאבה של המשפחה והטלטלה אותה עברה.</w:t>
      </w:r>
    </w:p>
    <w:p w:rsidR="00827B66" w:rsidRDefault="00827B66" w:rsidP="00827B66">
      <w:pPr>
        <w:pStyle w:val="ad"/>
      </w:pPr>
    </w:p>
    <w:p w:rsidR="00827B66" w:rsidRDefault="00827B66" w:rsidP="00827B66">
      <w:pPr>
        <w:pStyle w:val="ad"/>
        <w:spacing w:line="360" w:lineRule="auto"/>
        <w:ind w:left="0" w:firstLine="84"/>
        <w:jc w:val="both"/>
        <w:rPr>
          <w:b/>
          <w:bCs/>
          <w:sz w:val="26"/>
          <w:szCs w:val="26"/>
          <w:u w:val="single"/>
        </w:rPr>
      </w:pPr>
      <w:r>
        <w:rPr>
          <w:b/>
          <w:bCs/>
          <w:sz w:val="26"/>
          <w:szCs w:val="26"/>
          <w:u w:val="single"/>
          <w:rtl/>
        </w:rPr>
        <w:t>תמצית טיעוני הצדדים</w:t>
      </w:r>
    </w:p>
    <w:p w:rsidR="00827B66" w:rsidRDefault="00827B66" w:rsidP="00827B66">
      <w:pPr>
        <w:pStyle w:val="ad"/>
        <w:numPr>
          <w:ilvl w:val="0"/>
          <w:numId w:val="2"/>
        </w:numPr>
        <w:spacing w:line="360" w:lineRule="auto"/>
        <w:ind w:left="84" w:firstLine="0"/>
        <w:jc w:val="both"/>
        <w:rPr>
          <w:rFonts w:ascii="Arial" w:hAnsi="Arial"/>
          <w:rtl/>
        </w:rPr>
      </w:pPr>
      <w:r>
        <w:rPr>
          <w:rFonts w:ascii="Arial" w:hAnsi="Arial"/>
          <w:u w:val="single"/>
          <w:rtl/>
        </w:rPr>
        <w:t>בא כוח המאשימה</w:t>
      </w:r>
      <w:r>
        <w:rPr>
          <w:rFonts w:ascii="Arial" w:hAnsi="Arial"/>
          <w:rtl/>
        </w:rPr>
        <w:t>, עו"ד גל רוזנצוויג, הדגיש בטיעוניו לעונש את חומרתם המופלגת של המעשים שביצע הנאשם במתלוננת</w:t>
      </w:r>
      <w:r>
        <w:rPr>
          <w:rtl/>
        </w:rPr>
        <w:t xml:space="preserve"> ואת העובדה כי הופסקו רק לאור תושייתה הרבה של המתלוננת, שנאבקה בתוקפה ואף התקשרה לאביה תוך כדי מעשה. התובע עמד על הנזקים הפיסיים והנפשיים הנרחבים שנגמרו למתלוננת</w:t>
      </w:r>
      <w:r>
        <w:rPr>
          <w:rFonts w:ascii="Arial" w:hAnsi="Arial"/>
          <w:rtl/>
        </w:rPr>
        <w:t>, כמתואר גם בתסקיר נפגעת העבירה.</w:t>
      </w:r>
    </w:p>
    <w:p w:rsidR="00827B66" w:rsidRDefault="00827B66" w:rsidP="00827B66"/>
    <w:p w:rsidR="00827B66" w:rsidRDefault="00827B66" w:rsidP="00827B66">
      <w:pPr>
        <w:pStyle w:val="ad"/>
        <w:spacing w:line="360" w:lineRule="auto"/>
        <w:ind w:left="84" w:firstLine="636"/>
        <w:jc w:val="both"/>
      </w:pPr>
      <w:r>
        <w:rPr>
          <w:rtl/>
        </w:rPr>
        <w:t>בהתחשב בחומרת המעשה ובצורך להגן על הביטחון האישי של אזרחי המדינה, בפרט בעת הזאת, עתרה המאשימה למתחם עונש הולם שנע בין 17 ל-20 שנות מאסר בפועל וענישה נלווית. המאשימה ביקשה למקם את הנאשם בחלקו העליון של המתחם ולגזור עליו גם מאסר על-תנאי, פיצוי משמעותי למתלוננת וקנס. הוגשה פסיקה לעונש.</w:t>
      </w:r>
    </w:p>
    <w:p w:rsidR="00827B66" w:rsidRDefault="00827B66" w:rsidP="00827B66">
      <w:pPr>
        <w:pStyle w:val="ad"/>
      </w:pPr>
    </w:p>
    <w:p w:rsidR="00827B66" w:rsidRDefault="00827B66" w:rsidP="00827B66">
      <w:pPr>
        <w:pStyle w:val="ad"/>
        <w:numPr>
          <w:ilvl w:val="0"/>
          <w:numId w:val="2"/>
        </w:numPr>
        <w:spacing w:line="360" w:lineRule="auto"/>
        <w:ind w:left="84" w:firstLine="0"/>
        <w:jc w:val="both"/>
        <w:rPr>
          <w:rFonts w:ascii="Arial" w:hAnsi="Arial"/>
        </w:rPr>
      </w:pPr>
      <w:r>
        <w:rPr>
          <w:rFonts w:ascii="Arial" w:hAnsi="Arial"/>
          <w:u w:val="single"/>
          <w:rtl/>
        </w:rPr>
        <w:t>בא כוח הנאשם</w:t>
      </w:r>
      <w:r>
        <w:rPr>
          <w:rFonts w:ascii="Arial" w:hAnsi="Arial"/>
          <w:rtl/>
        </w:rPr>
        <w:t>, עו"ד פאדי חמדאן, הזכיר בפתח טיעוניו את הקביעה בהכרעת הדין שלא הוכח התיאור בכתב האישום לפיו הנאשם ניסה להחדיר גם את איבר מינו לאיבר מינה. לדעת הסניגור המלומד בכך "</w:t>
      </w:r>
      <w:r>
        <w:rPr>
          <w:rFonts w:ascii="Miriam" w:hAnsi="Miriam" w:cs="Miriam"/>
          <w:rtl/>
        </w:rPr>
        <w:t>שונה בתכלית</w:t>
      </w:r>
      <w:r>
        <w:rPr>
          <w:rFonts w:ascii="Arial" w:hAnsi="Arial"/>
          <w:rtl/>
        </w:rPr>
        <w:t>" הכרעת הדין מכתב האישום, והנאשם לא הורשע במעשה החמור ביותר שהופיע בו. מעובדה זו למד ב"כ הנאשם גם כי ניהול ההוכחות במקרה זה היה הכרחי.</w:t>
      </w:r>
    </w:p>
    <w:p w:rsidR="00827B66" w:rsidRDefault="00827B66" w:rsidP="00827B66">
      <w:pPr>
        <w:pStyle w:val="ad"/>
        <w:spacing w:line="360" w:lineRule="auto"/>
        <w:ind w:left="84"/>
        <w:jc w:val="both"/>
        <w:rPr>
          <w:rFonts w:ascii="Arial" w:hAnsi="Arial"/>
          <w:rtl/>
        </w:rPr>
      </w:pPr>
    </w:p>
    <w:p w:rsidR="00827B66" w:rsidRDefault="00827B66" w:rsidP="00827B66">
      <w:pPr>
        <w:pStyle w:val="ad"/>
        <w:spacing w:line="360" w:lineRule="auto"/>
        <w:ind w:left="84" w:firstLine="636"/>
        <w:jc w:val="both"/>
        <w:rPr>
          <w:rFonts w:ascii="Arial" w:hAnsi="Arial"/>
        </w:rPr>
      </w:pPr>
      <w:r>
        <w:rPr>
          <w:rFonts w:ascii="Arial" w:hAnsi="Arial"/>
          <w:rtl/>
        </w:rPr>
        <w:t>הסניגור הפנה לפסיקה בה נגזרו עונשים במקרי אינוס באמצעות האצבעות, ובא לכלל מסקנה כי אינוס בדרך זו חמור פחות ממעשה אינוס באמצעות איבר המין</w:t>
      </w:r>
      <w:r>
        <w:rPr>
          <w:rtl/>
        </w:rPr>
        <w:t xml:space="preserve">. </w:t>
      </w:r>
      <w:r>
        <w:rPr>
          <w:rFonts w:ascii="Arial" w:hAnsi="Arial"/>
          <w:rtl/>
        </w:rPr>
        <w:t xml:space="preserve">עוד טענה ההגנה כי מעשהו של הנאשם לא היה מתוכנן; כי החבלות שנגרמו למתלוננת לא היו קשות; כי אין מקום להתחשב באמור בתסקיר הנפגעת ובעדות אביה לעונש משום שלא הובאו אסמכתאות לפגיעה במתלוננת; וכי יש לזקוף לקולה את פער הגילים הקטן בין הנאשם למתלוננת. </w:t>
      </w:r>
    </w:p>
    <w:p w:rsidR="00827B66" w:rsidRDefault="00827B66" w:rsidP="00827B66">
      <w:pPr>
        <w:pStyle w:val="ad"/>
        <w:rPr>
          <w:rFonts w:ascii="Arial" w:hAnsi="Arial"/>
        </w:rPr>
      </w:pPr>
    </w:p>
    <w:p w:rsidR="00827B66" w:rsidRDefault="00827B66" w:rsidP="00827B66">
      <w:pPr>
        <w:pStyle w:val="ad"/>
        <w:spacing w:line="360" w:lineRule="auto"/>
        <w:ind w:left="84" w:firstLine="636"/>
        <w:jc w:val="both"/>
      </w:pPr>
      <w:r>
        <w:rPr>
          <w:rtl/>
        </w:rPr>
        <w:t>לדעת ב"כ הנאשם מתחם העונש ההולם במקרה זה צריך לנוע בין 3 ל-7 שנות מאסר בפועל, ובהתחשב בנתוניו של הנאשם, בהיותו תושב הרשות הפלסטינית ובנכוֹנוּת שהייתה לו לסיים את ההליך מיד אחר עדות המתלוננת, יש לגזור עליו עונש בתחתית המתחם. ב"כ הנאשם ביקש להימנע מלחייב את הנאשם בעונשים כלכליים, משום שאין ביכולתו לשאת בהם.</w:t>
      </w:r>
    </w:p>
    <w:p w:rsidR="00827B66" w:rsidRDefault="00827B66" w:rsidP="00827B66">
      <w:pPr>
        <w:pStyle w:val="ad"/>
        <w:rPr>
          <w:rtl/>
        </w:rPr>
      </w:pPr>
    </w:p>
    <w:p w:rsidR="00827B66" w:rsidRDefault="00827B66" w:rsidP="00827B66">
      <w:pPr>
        <w:pStyle w:val="ad"/>
        <w:rPr>
          <w:rtl/>
        </w:rPr>
      </w:pPr>
    </w:p>
    <w:p w:rsidR="00827B66" w:rsidRDefault="00827B66" w:rsidP="00827B66">
      <w:pPr>
        <w:pStyle w:val="ad"/>
        <w:numPr>
          <w:ilvl w:val="0"/>
          <w:numId w:val="2"/>
        </w:numPr>
        <w:spacing w:line="360" w:lineRule="auto"/>
        <w:ind w:left="84" w:firstLine="0"/>
        <w:jc w:val="both"/>
        <w:rPr>
          <w:rFonts w:ascii="Arial" w:hAnsi="Arial"/>
          <w:rtl/>
        </w:rPr>
      </w:pPr>
      <w:r>
        <w:rPr>
          <w:rtl/>
        </w:rPr>
        <w:t>הנאשם בדברו האחרון לעונש פנה לאבי המתלוננת ואמר לו שהוא מצטער, לא רצה שזה יקרה</w:t>
      </w:r>
      <w:r>
        <w:rPr>
          <w:rFonts w:ascii="Arial" w:hAnsi="Arial"/>
          <w:rtl/>
        </w:rPr>
        <w:t xml:space="preserve"> והוא מקווה שהמתלוננת תחזור לחייה.</w:t>
      </w:r>
    </w:p>
    <w:p w:rsidR="00827B66" w:rsidRDefault="00827B66" w:rsidP="00827B66">
      <w:pPr>
        <w:spacing w:line="360" w:lineRule="auto"/>
        <w:jc w:val="both"/>
        <w:rPr>
          <w:rtl/>
        </w:rPr>
      </w:pPr>
    </w:p>
    <w:p w:rsidR="00827B66" w:rsidRDefault="00827B66" w:rsidP="00827B66">
      <w:pPr>
        <w:pStyle w:val="ad"/>
        <w:spacing w:line="360" w:lineRule="auto"/>
        <w:ind w:left="0" w:firstLine="84"/>
        <w:jc w:val="both"/>
        <w:rPr>
          <w:b/>
          <w:bCs/>
          <w:sz w:val="26"/>
          <w:szCs w:val="26"/>
          <w:u w:val="single"/>
        </w:rPr>
      </w:pPr>
      <w:r>
        <w:rPr>
          <w:b/>
          <w:bCs/>
          <w:sz w:val="26"/>
          <w:szCs w:val="26"/>
          <w:u w:val="single"/>
          <w:rtl/>
        </w:rPr>
        <w:t>דיון והכרעה</w:t>
      </w:r>
    </w:p>
    <w:p w:rsidR="00827B66" w:rsidRDefault="00827B66" w:rsidP="00827B66">
      <w:pPr>
        <w:pStyle w:val="ad"/>
        <w:numPr>
          <w:ilvl w:val="0"/>
          <w:numId w:val="2"/>
        </w:numPr>
        <w:spacing w:line="360" w:lineRule="auto"/>
        <w:ind w:left="84" w:firstLine="0"/>
        <w:jc w:val="both"/>
      </w:pPr>
      <w:r>
        <w:rPr>
          <w:rtl/>
        </w:rPr>
        <w:t xml:space="preserve">הנאשם, תושב האזור כבן 20 בעת המעשה שאינו מורשה להיכנס לתחומי מדינת ישראל, רעה את צאנו בשטח פתוח סמוך ליישוב בו מתגוררת נפגעת העבירה, קטינה כבת 16. הנאשם הבחין במתלוננת חוזרת לביתה בדרך חזרה מבית הספר, נעמד מולה וחשק בה. בשלב ראשון הוא לחץ עליה לשחק עמו משחק. המתלוננת חששה מפני הנאשם ונאותה לכך, ולאחר מכן ביקשה ללכת לדרכה, אך הנאשם לא אִפשר לה לעשות כן. הוא פסע אחריה בשביל, נשק לה בניגוד לרצונה, הכריח אותה לתת לו נשיקה, ובהמשך אחז במתלוננת בכוח, גרר אותה לשדה, לפת אותה מאחור, מישש את חזהּ בכוח, הפשיל את מכנסיה ותחתוניה וביצע בה באמצעות אצבעותיו אינוס אכזרי וממושך, שהסב לה חבלות גוף. במהלך האונס האלים זעקה המתלוננת מכאב והתחננה על נפשה – אך ללא הועיל. </w:t>
      </w:r>
    </w:p>
    <w:p w:rsidR="00827B66" w:rsidRDefault="00827B66" w:rsidP="00827B66">
      <w:pPr>
        <w:pStyle w:val="ad"/>
        <w:spacing w:line="360" w:lineRule="auto"/>
        <w:ind w:left="0" w:firstLine="720"/>
        <w:jc w:val="both"/>
        <w:rPr>
          <w:rtl/>
        </w:rPr>
      </w:pPr>
    </w:p>
    <w:p w:rsidR="00827B66" w:rsidRDefault="00827B66" w:rsidP="00827B66">
      <w:pPr>
        <w:pStyle w:val="ad"/>
        <w:spacing w:line="360" w:lineRule="auto"/>
        <w:ind w:left="84" w:firstLine="636"/>
        <w:jc w:val="both"/>
        <w:rPr>
          <w:rFonts w:ascii="Arial" w:hAnsi="Arial"/>
          <w:rtl/>
        </w:rPr>
      </w:pPr>
      <w:r>
        <w:rPr>
          <w:rFonts w:ascii="Arial" w:hAnsi="Arial"/>
          <w:rtl/>
        </w:rPr>
        <w:t xml:space="preserve">במהלך האונס שעברה הצליחה המתלוננת להתקשר לאביה ולזעוק לעזרה, וכך נאלץ האב לשמוע כיצד אדם זר אונס את בתו. </w:t>
      </w:r>
    </w:p>
    <w:p w:rsidR="00827B66" w:rsidRDefault="00827B66" w:rsidP="00827B66">
      <w:pPr>
        <w:spacing w:line="360" w:lineRule="auto"/>
        <w:ind w:firstLine="84"/>
        <w:jc w:val="both"/>
        <w:rPr>
          <w:rFonts w:ascii="David" w:hAnsi="David"/>
          <w:b/>
          <w:bCs/>
          <w:u w:val="single"/>
          <w:rtl/>
        </w:rPr>
      </w:pPr>
    </w:p>
    <w:p w:rsidR="00827B66" w:rsidRDefault="00827B66" w:rsidP="00827B66">
      <w:pPr>
        <w:spacing w:line="360" w:lineRule="auto"/>
        <w:ind w:firstLine="84"/>
        <w:jc w:val="both"/>
        <w:rPr>
          <w:rFonts w:ascii="David" w:hAnsi="David"/>
          <w:b/>
          <w:bCs/>
          <w:u w:val="single"/>
          <w:rtl/>
        </w:rPr>
      </w:pPr>
      <w:r>
        <w:rPr>
          <w:rFonts w:ascii="David" w:hAnsi="David"/>
          <w:b/>
          <w:bCs/>
          <w:u w:val="single"/>
          <w:rtl/>
        </w:rPr>
        <w:t>מתחם העונש ההולם</w:t>
      </w:r>
    </w:p>
    <w:p w:rsidR="00827B66" w:rsidRDefault="00827B66" w:rsidP="00827B66">
      <w:pPr>
        <w:pStyle w:val="ad"/>
        <w:numPr>
          <w:ilvl w:val="0"/>
          <w:numId w:val="2"/>
        </w:numPr>
        <w:spacing w:line="360" w:lineRule="auto"/>
        <w:ind w:left="84" w:firstLine="0"/>
        <w:jc w:val="both"/>
        <w:rPr>
          <w:rtl/>
        </w:rPr>
      </w:pPr>
      <w:r>
        <w:rPr>
          <w:rtl/>
        </w:rPr>
        <w:t xml:space="preserve">קביעת מתחם העונש ההולם את מעשי הנאשם תעוצב בהתאם לעיקרון היסודי בענישה, הלוא הוא עיקרון ההלימה בין חומרת מעשי העבירה בנסיבותיהם ומידת אשמו של הנאשם ובין סוג ומידת העונש. זאת בזיקה לערכים החברתיים המוגנים העומדים בבסיס העבירות שביצע ומידת הפגיעה בהם, תוך התחשבות במדיניות הענישה הנוהגת. </w:t>
      </w:r>
    </w:p>
    <w:p w:rsidR="00827B66" w:rsidRDefault="00827B66" w:rsidP="00827B66">
      <w:pPr>
        <w:rPr>
          <w:rtl/>
        </w:rPr>
      </w:pPr>
    </w:p>
    <w:p w:rsidR="00827B66" w:rsidRDefault="00827B66" w:rsidP="00827B66">
      <w:pPr>
        <w:pStyle w:val="ad"/>
        <w:numPr>
          <w:ilvl w:val="0"/>
          <w:numId w:val="2"/>
        </w:numPr>
        <w:spacing w:line="360" w:lineRule="auto"/>
        <w:ind w:left="84" w:firstLine="0"/>
        <w:jc w:val="both"/>
      </w:pPr>
      <w:r>
        <w:rPr>
          <w:rtl/>
        </w:rPr>
        <w:t xml:space="preserve">על חומרתם של מעשי העבירה שביצע הנאשם עמדתי לעיל. </w:t>
      </w:r>
    </w:p>
    <w:p w:rsidR="00827B66" w:rsidRDefault="00827B66" w:rsidP="00827B66">
      <w:pPr>
        <w:pStyle w:val="ad"/>
      </w:pPr>
    </w:p>
    <w:p w:rsidR="00827B66" w:rsidRDefault="00827B66" w:rsidP="00827B66">
      <w:pPr>
        <w:pStyle w:val="ad"/>
        <w:spacing w:line="360" w:lineRule="auto"/>
        <w:ind w:left="84" w:firstLine="636"/>
        <w:jc w:val="both"/>
      </w:pPr>
      <w:r>
        <w:rPr>
          <w:rtl/>
        </w:rPr>
        <w:t xml:space="preserve">לא אוכל לקבל את טענת הנאשם כי הכרעת הדין שונה באופן מהותי מאשר יוחס לו בכתב האישום. אמנם קבענו בהכרעת הדין כי המאשימה לא הוכיחה עובדה אחת שהופיעה בכתב האישום, לפיה בנוסף לכל אשר עשה, ניסה הנאשם גם לבעול את המתלוננת באמצעות איבר מינו, אלא שהמאשימה לא ייחסה לנאשם בכתב האישום גם עבירה של ניסיון אינוס. יתר על כן, בניגוד לסברת הנאשם, בנסיבות העניין חומרת המעשה שיוחס לו בכתב האישום ממוקדת דווקא באינוס באמצעות האצבעות הממושך והאלים שביצע במתלוננת ובמעשה זה הורשע. </w:t>
      </w:r>
    </w:p>
    <w:p w:rsidR="00827B66" w:rsidRDefault="00827B66" w:rsidP="00827B66">
      <w:pPr>
        <w:pStyle w:val="ad"/>
        <w:rPr>
          <w:rtl/>
        </w:rPr>
      </w:pPr>
    </w:p>
    <w:p w:rsidR="00827B66" w:rsidRDefault="00827B66" w:rsidP="00827B66">
      <w:pPr>
        <w:pStyle w:val="ad"/>
        <w:numPr>
          <w:ilvl w:val="0"/>
          <w:numId w:val="2"/>
        </w:numPr>
        <w:spacing w:line="360" w:lineRule="auto"/>
        <w:ind w:left="84" w:firstLine="0"/>
        <w:jc w:val="both"/>
      </w:pPr>
      <w:r>
        <w:rPr>
          <w:rtl/>
        </w:rPr>
        <w:lastRenderedPageBreak/>
        <w:t xml:space="preserve">מידת אשמו של הנאשם גבוהה מאוד. הוא ביצע במתלוננת "אונס בשדה" אלים ואכזרי לכל דבר ועניין. </w:t>
      </w:r>
    </w:p>
    <w:p w:rsidR="00827B66" w:rsidRDefault="00827B66" w:rsidP="00827B66">
      <w:pPr>
        <w:pStyle w:val="ad"/>
        <w:spacing w:line="360" w:lineRule="auto"/>
        <w:ind w:left="84"/>
        <w:jc w:val="both"/>
        <w:rPr>
          <w:rtl/>
        </w:rPr>
      </w:pPr>
    </w:p>
    <w:p w:rsidR="00827B66" w:rsidRDefault="00827B66" w:rsidP="00827B66">
      <w:pPr>
        <w:pStyle w:val="ad"/>
        <w:spacing w:line="360" w:lineRule="auto"/>
        <w:ind w:left="84" w:firstLine="636"/>
        <w:jc w:val="both"/>
      </w:pPr>
      <w:r>
        <w:rPr>
          <w:rtl/>
        </w:rPr>
        <w:t>אין מקום לטענת הנאשם כי יש לזקוף לזכותו את פער הגילים הקטן יחסית בינו לבין המתלוננת. זאת משום שבמקרה דנן לא עומדת לבחינה מערכת יחסים מינית מוסכמת או במסגרת יחסי מרות, שאז ישנם מקרים בהם לפער הגילים יש משמעות, אלא אקט מיני אלים שנכפה על המתלוננת שלא מרצונה.</w:t>
      </w:r>
    </w:p>
    <w:p w:rsidR="00827B66" w:rsidRDefault="00827B66" w:rsidP="00827B66">
      <w:pPr>
        <w:pStyle w:val="ad"/>
        <w:rPr>
          <w:rtl/>
        </w:rPr>
      </w:pPr>
    </w:p>
    <w:p w:rsidR="00827B66" w:rsidRDefault="00827B66" w:rsidP="00827B66">
      <w:pPr>
        <w:pStyle w:val="ad"/>
        <w:numPr>
          <w:ilvl w:val="0"/>
          <w:numId w:val="2"/>
        </w:numPr>
        <w:spacing w:line="360" w:lineRule="auto"/>
        <w:ind w:left="84" w:firstLine="0"/>
        <w:jc w:val="both"/>
      </w:pPr>
      <w:r>
        <w:rPr>
          <w:rtl/>
        </w:rPr>
        <w:t xml:space="preserve">המתלוננת נפגעה פיסית כתוצאה מהאונס והפגיעה בה התרחשה בעיצומו של גיל ההתבגרות הרגיש, על כל המשתמע מכך כמתואר בהרחבה בתסקיר הנפגעת. </w:t>
      </w:r>
    </w:p>
    <w:p w:rsidR="00827B66" w:rsidRDefault="00827B66" w:rsidP="00827B66">
      <w:pPr>
        <w:pStyle w:val="ad"/>
        <w:rPr>
          <w:rtl/>
        </w:rPr>
      </w:pPr>
    </w:p>
    <w:p w:rsidR="00827B66" w:rsidRDefault="00827B66" w:rsidP="00827B66">
      <w:pPr>
        <w:pStyle w:val="ad"/>
        <w:spacing w:line="360" w:lineRule="auto"/>
        <w:ind w:left="84" w:firstLine="636"/>
        <w:jc w:val="both"/>
      </w:pPr>
      <w:r>
        <w:rPr>
          <w:rtl/>
        </w:rPr>
        <w:t xml:space="preserve">אך מעבר לכל אלה, הנזק שהסב הנאשם למתלוננת הצעירה חמור וקשה במיוחד אף ביחס לנזקים הקשים שלדאבון הלב כמעט תמיד נגרמים לנפגעי עבירות המין. זאת בשל העובדה כי המתלוננת שבחר הנאשם כקורבן ליצריו אובחנה כסובלת מאנורקסיה נברוזה. נתון זה החריף לאין שיעור את תמונת הפגיעה במתלוננת כתוצאה מן האונס שביצע בה הנאשם. מעשי הנאשם הביאו להתפרצות מחודשת של המחלה, ומאז האירוע (לפני כשנתיים) שהתה המתלוננת כמעט בלי הפסקה באשפוז פסיכיאטרי שנועד, פשוטו כמשמעו, לאפשר לה לחיות. כתוצאה מכך לא ניתן היה עדיין להושיט למתלוננת טיפול נפשי שנועד להתמודד עם הפגיעה המינית שעברה מידי הנאשם. </w:t>
      </w:r>
    </w:p>
    <w:p w:rsidR="00827B66" w:rsidRDefault="00827B66" w:rsidP="00827B66">
      <w:pPr>
        <w:pStyle w:val="ad"/>
        <w:spacing w:line="360" w:lineRule="auto"/>
        <w:ind w:left="84" w:firstLine="636"/>
        <w:jc w:val="both"/>
        <w:rPr>
          <w:rtl/>
        </w:rPr>
      </w:pPr>
    </w:p>
    <w:p w:rsidR="00827B66" w:rsidRDefault="00827B66" w:rsidP="00827B66">
      <w:pPr>
        <w:pStyle w:val="ad"/>
        <w:spacing w:line="360" w:lineRule="auto"/>
        <w:ind w:left="84" w:firstLine="636"/>
        <w:jc w:val="both"/>
        <w:rPr>
          <w:rFonts w:ascii="David" w:hAnsi="David"/>
          <w:rtl/>
        </w:rPr>
      </w:pPr>
      <w:r>
        <w:rPr>
          <w:rFonts w:ascii="David" w:hAnsi="David"/>
          <w:rtl/>
        </w:rPr>
        <w:t xml:space="preserve">לנזק שנגרם למתלוננת נחשפנו באופן ישיר גם מהדברים עליהם העידה בשלב ניהול ההליך. כתוצאה ישירה מהחדרת האצבעות האגרסיבית והאלימות שהפעיל הנאשם, חוותה המתלוננת כאבים עזים. אחרי האונס קשה היה לה מאוד לישון בלילה והיא סובלת מביעותי שינה. מראות האירוע ליוו אותה גם בשעות הערוּת: היא חשה את הקושי בעת אינטראקציות חברתיות, מתקשה במגע פיזי וקרבה פיזית שגרתית של חיבוק ומגע רגיל. אם מישהו ניגש אליה מאחור היא נתקפת בבהלה (עמ' 73 לפרוטוקול). התקיפה שחוותה מידי הנאשם הפחיתה לה עוד יותר את התיאבון והחמירה מאוד את הפרעת האכילה ממנה סבלה עוד קודם לכן (עמ' 75). </w:t>
      </w:r>
    </w:p>
    <w:p w:rsidR="00827B66" w:rsidRDefault="00827B66" w:rsidP="00827B66">
      <w:pPr>
        <w:pStyle w:val="ad"/>
        <w:spacing w:line="360" w:lineRule="auto"/>
        <w:ind w:left="84" w:firstLine="636"/>
        <w:jc w:val="both"/>
        <w:rPr>
          <w:rFonts w:ascii="David" w:hAnsi="David"/>
          <w:rtl/>
        </w:rPr>
      </w:pPr>
    </w:p>
    <w:p w:rsidR="00827B66" w:rsidRDefault="00827B66" w:rsidP="00827B66">
      <w:pPr>
        <w:pStyle w:val="ad"/>
        <w:spacing w:line="360" w:lineRule="auto"/>
        <w:ind w:left="84" w:firstLine="636"/>
        <w:jc w:val="both"/>
        <w:rPr>
          <w:rFonts w:ascii="David" w:hAnsi="David"/>
          <w:rtl/>
        </w:rPr>
      </w:pPr>
      <w:r>
        <w:rPr>
          <w:rFonts w:ascii="David" w:hAnsi="David"/>
          <w:rtl/>
        </w:rPr>
        <w:t xml:space="preserve">השלכות הפגיעה במתלוננת נלמדות גם מעדות אימה, אשר העידה אף היא בשלב ניהול ההליך כי המתלוננת הייתה במצב רגשי קשה כאשר פגשה אותה לאחר האירוע, היא רעדה, הייתה מבוהלת והיסטרית, בכתה, צעקה, והייתה מבועתת. לאחר ששבה מהבדיקה בבית החולים, חזרה המתלוננת הביתה </w:t>
      </w:r>
      <w:r>
        <w:rPr>
          <w:rtl/>
        </w:rPr>
        <w:t>ובמשך</w:t>
      </w:r>
      <w:r>
        <w:rPr>
          <w:rFonts w:ascii="David" w:hAnsi="David"/>
          <w:rtl/>
        </w:rPr>
        <w:t xml:space="preserve"> מספר ימים לא ישנה כי סבלה מכאבים באזור איבר המין. האירוע הביא אותה למצב נפשי גרוע שעד היום לא השתקמה ממנו (עמ' 194-200 לפרו'). </w:t>
      </w:r>
    </w:p>
    <w:p w:rsidR="00827B66" w:rsidRDefault="00827B66" w:rsidP="00827B66">
      <w:pPr>
        <w:pStyle w:val="ad"/>
        <w:spacing w:line="360" w:lineRule="auto"/>
        <w:ind w:left="84" w:firstLine="636"/>
        <w:jc w:val="both"/>
        <w:rPr>
          <w:rtl/>
        </w:rPr>
      </w:pPr>
    </w:p>
    <w:p w:rsidR="00827B66" w:rsidRDefault="00827B66" w:rsidP="00827B66">
      <w:pPr>
        <w:pStyle w:val="ad"/>
        <w:spacing w:line="360" w:lineRule="auto"/>
        <w:ind w:left="84" w:firstLine="636"/>
        <w:jc w:val="both"/>
      </w:pPr>
      <w:r>
        <w:rPr>
          <w:rtl/>
        </w:rPr>
        <w:lastRenderedPageBreak/>
        <w:t>במקרה הספציפי, במיוחד לאור חשיפת אבי הקטינה באופן ישיר למעשה האונס שעברה בתו תוך כדי המעשה, נפגע גם האב באורח קשה כתוצאה ממעשי הנאשם.</w:t>
      </w:r>
    </w:p>
    <w:p w:rsidR="00827B66" w:rsidRDefault="00827B66" w:rsidP="00827B66">
      <w:pPr>
        <w:pStyle w:val="ad"/>
        <w:spacing w:line="360" w:lineRule="auto"/>
        <w:ind w:left="84" w:firstLine="636"/>
        <w:jc w:val="both"/>
        <w:rPr>
          <w:rtl/>
        </w:rPr>
      </w:pPr>
    </w:p>
    <w:p w:rsidR="00827B66" w:rsidRDefault="00827B66" w:rsidP="00827B66">
      <w:pPr>
        <w:pStyle w:val="ad"/>
        <w:numPr>
          <w:ilvl w:val="0"/>
          <w:numId w:val="2"/>
        </w:numPr>
        <w:spacing w:line="360" w:lineRule="auto"/>
        <w:ind w:left="84" w:firstLine="0"/>
        <w:jc w:val="both"/>
        <w:rPr>
          <w:rtl/>
        </w:rPr>
      </w:pPr>
      <w:r>
        <w:rPr>
          <w:rtl/>
        </w:rPr>
        <w:t>לא ירדתי לסוף דעתו של ב"כ הנאשם אשר טען כי לא הוכחו הפגיעות שהובאו לפנינו באמצעות התסקיר ועדות האב. ברי כי עדות האב היא ראיה ישירה וקבילה לקורות המתלוננת לאחר מעשה, וכך גם האמור בתסקיר הנפגעת, אשר נסמך כמובן על מגוון מקורות אך משמש על פי חוק ראיה קבילה לעונש.</w:t>
      </w:r>
    </w:p>
    <w:p w:rsidR="00827B66" w:rsidRDefault="00827B66" w:rsidP="00827B66">
      <w:pPr>
        <w:pStyle w:val="ad"/>
        <w:rPr>
          <w:rtl/>
        </w:rPr>
      </w:pPr>
    </w:p>
    <w:p w:rsidR="00827B66" w:rsidRDefault="00827B66" w:rsidP="00827B66">
      <w:pPr>
        <w:pStyle w:val="ad"/>
        <w:numPr>
          <w:ilvl w:val="0"/>
          <w:numId w:val="2"/>
        </w:numPr>
        <w:spacing w:line="360" w:lineRule="auto"/>
        <w:ind w:left="84" w:firstLine="0"/>
        <w:jc w:val="both"/>
        <w:rPr>
          <w:rtl/>
        </w:rPr>
      </w:pPr>
      <w:r>
        <w:rPr>
          <w:rtl/>
        </w:rPr>
        <w:t xml:space="preserve">הערכים החברתיים שנפגעו מביצוע העבירות הם אוטונומיית הרצון של המתלוננת הקטינה ושלמוּת גופה, כמו גם פרטיותה של המתלוננת ותחושת הביטחון והמוּגנוּת שלה. כמתואר לעיל, במקרה דנן מידת הפגיעה בערכים אלה הייתה רבה. </w:t>
      </w:r>
    </w:p>
    <w:p w:rsidR="00827B66" w:rsidRDefault="00827B66" w:rsidP="00827B66">
      <w:pPr>
        <w:pStyle w:val="ad"/>
        <w:spacing w:line="360" w:lineRule="auto"/>
        <w:jc w:val="both"/>
        <w:rPr>
          <w:rtl/>
        </w:rPr>
      </w:pPr>
    </w:p>
    <w:p w:rsidR="00827B66" w:rsidRDefault="00827B66" w:rsidP="00827B66">
      <w:pPr>
        <w:pStyle w:val="ad"/>
        <w:numPr>
          <w:ilvl w:val="0"/>
          <w:numId w:val="2"/>
        </w:numPr>
        <w:spacing w:line="360" w:lineRule="auto"/>
        <w:ind w:left="84" w:firstLine="0"/>
        <w:jc w:val="both"/>
      </w:pPr>
      <w:r>
        <w:rPr>
          <w:rtl/>
        </w:rPr>
        <w:t xml:space="preserve">בשתיים מן העבירות בהן הורשע הנאשם קבע המחוקק עונשים מזעריים של רבע מן העונש המרבי הצמוד להן, ומאלה ניתן לסטות רק מטעמים מיוחדים שיירשמו: </w:t>
      </w:r>
    </w:p>
    <w:p w:rsidR="00827B66" w:rsidRDefault="00827B66" w:rsidP="00827B66">
      <w:pPr>
        <w:pStyle w:val="ad"/>
        <w:spacing w:line="360" w:lineRule="auto"/>
        <w:jc w:val="both"/>
        <w:rPr>
          <w:rtl/>
        </w:rPr>
      </w:pPr>
    </w:p>
    <w:p w:rsidR="00827B66" w:rsidRDefault="00827B66" w:rsidP="00827B66">
      <w:pPr>
        <w:pStyle w:val="ad"/>
        <w:spacing w:line="360" w:lineRule="auto"/>
        <w:ind w:left="84" w:firstLine="636"/>
        <w:jc w:val="both"/>
      </w:pPr>
      <w:r>
        <w:rPr>
          <w:rtl/>
        </w:rPr>
        <w:t>בעבירה של אינוס תוך גרימת חבלה עומד העונש המרבי על 20 שנות מאסר והעונש המזערי על 5 שנות מאסר, ובעבירה של מעשים מגונים תוך גרימת חבלה עומד העונש המרבי על 10 שנות מאסר והעונש מזערי על 2.5 שנות מאסר.</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rPr>
          <w:rFonts w:ascii="Arial" w:hAnsi="Arial"/>
        </w:rPr>
      </w:pPr>
      <w:r>
        <w:rPr>
          <w:rFonts w:ascii="Arial" w:hAnsi="Arial"/>
          <w:rtl/>
        </w:rPr>
        <w:t xml:space="preserve">הענישה הנוהגת בבתי המשפט כלפי עבירות המין החמורות המבוצעות כלפי קטינים מאופיינת במגמת החמרה ברורה. זאת, בשל שילובו של עקרון ההלימה יחד עם הצורך לתת ביטוי לסבלו של הקורבן, לסלידתה של החברה מביצוע המעשים והצורך בהרתעת היחיד ובהרתעת הרבים בתחום זה של עבירות (ע"פ 766/21 </w:t>
      </w:r>
      <w:r>
        <w:rPr>
          <w:rFonts w:ascii="Arial" w:hAnsi="Arial"/>
          <w:b/>
          <w:bCs/>
          <w:rtl/>
        </w:rPr>
        <w:t>רביעה נ' מדינת ישראל</w:t>
      </w:r>
      <w:r>
        <w:rPr>
          <w:rFonts w:ascii="Arial" w:hAnsi="Arial"/>
          <w:rtl/>
        </w:rPr>
        <w:t xml:space="preserve"> (23.2.2023), פסקאות 41-40 לפסק דינה של כב' השופטת ד' ברק ארז): </w:t>
      </w:r>
    </w:p>
    <w:p w:rsidR="00827B66" w:rsidRDefault="00827B66" w:rsidP="00827B66">
      <w:pPr>
        <w:pStyle w:val="ad"/>
        <w:spacing w:line="360" w:lineRule="auto"/>
        <w:ind w:left="84" w:firstLine="636"/>
        <w:jc w:val="both"/>
        <w:rPr>
          <w:rFonts w:ascii="Arial" w:hAnsi="Arial"/>
        </w:rPr>
      </w:pPr>
    </w:p>
    <w:p w:rsidR="00827B66" w:rsidRDefault="00827B66" w:rsidP="00827B66">
      <w:pPr>
        <w:pStyle w:val="Ruller4"/>
        <w:numPr>
          <w:ilvl w:val="0"/>
          <w:numId w:val="0"/>
        </w:numPr>
        <w:ind w:left="800"/>
        <w:rPr>
          <w:rtl/>
        </w:rPr>
      </w:pPr>
      <w:r>
        <w:rPr>
          <w:rtl/>
        </w:rPr>
        <w:t xml:space="preserve">"לא פעם עמד בית משפט זה על החומרה הרבה שבעבירות מין, כמו גם על השלכותיהן ההרסניות על קורבנותיהן. אכן, עבירות מין נושאות משמעות כה טראומתית, אלימה, מטלטלת ופוגענית, שלא פעם נדמה כי אין ביכולתן של מילים לתאר אותן, על מלוא מורכבותן והזעזוע שבהן. עמדה על כך השופטת </w:t>
      </w:r>
      <w:r>
        <w:rPr>
          <w:rFonts w:ascii="Century" w:hAnsi="Century" w:cs="Miriam"/>
          <w:b/>
          <w:spacing w:val="0"/>
          <w:sz w:val="22"/>
          <w:szCs w:val="24"/>
          <w:rtl/>
        </w:rPr>
        <w:t>יעל וילנר</w:t>
      </w:r>
      <w:r>
        <w:rPr>
          <w:rtl/>
        </w:rPr>
        <w:t xml:space="preserve"> בע"פ 8153/19 </w:t>
      </w:r>
      <w:r>
        <w:rPr>
          <w:rFonts w:ascii="Century" w:hAnsi="Century" w:cs="Miriam"/>
          <w:b/>
          <w:spacing w:val="0"/>
          <w:sz w:val="22"/>
          <w:szCs w:val="24"/>
          <w:rtl/>
        </w:rPr>
        <w:t>פלוני נ' מדינת ישראל</w:t>
      </w:r>
      <w:r>
        <w:rPr>
          <w:rtl/>
        </w:rPr>
        <w:t xml:space="preserve"> (25.10.2020) (להלן: </w:t>
      </w:r>
      <w:r>
        <w:rPr>
          <w:rFonts w:ascii="Century" w:hAnsi="Century" w:cs="Miriam"/>
          <w:b/>
          <w:spacing w:val="0"/>
          <w:sz w:val="22"/>
          <w:szCs w:val="24"/>
          <w:rtl/>
        </w:rPr>
        <w:t>עניין פלוני</w:t>
      </w:r>
      <w:r>
        <w:rPr>
          <w:rtl/>
        </w:rPr>
        <w:t>):</w:t>
      </w:r>
    </w:p>
    <w:p w:rsidR="00827B66" w:rsidRDefault="00827B66" w:rsidP="00827B66">
      <w:pPr>
        <w:pStyle w:val="Ruller41"/>
        <w:rPr>
          <w:rtl/>
        </w:rPr>
      </w:pPr>
    </w:p>
    <w:p w:rsidR="00827B66" w:rsidRDefault="00827B66" w:rsidP="00827B66">
      <w:pPr>
        <w:pStyle w:val="Ruller5"/>
        <w:rPr>
          <w:rFonts w:ascii="Times New Roman" w:hAnsi="Times New Roman" w:cs="Times New Roman"/>
          <w:spacing w:val="0"/>
          <w:szCs w:val="20"/>
          <w:rtl/>
        </w:rPr>
      </w:pPr>
      <w:r>
        <w:rPr>
          <w:rtl/>
        </w:rPr>
        <w:lastRenderedPageBreak/>
        <w:t>אין צורך להכביר במילים בדבר השלכותיהן ההרסניות של עבירות מין על הקורבן ועל בני משפחתו. עבירות אלה חודרות לנימי הנפש, גורמות לתחושה קשה של אובדן שליטה ופגיעה בכבוד ובאוטונומיה, הופכות על פיו את עולמו של הקורבן ועלולות לגרום למגוון רחב של תופעות נפשיות וגופניות, המצריכות תהליכי שיקום מורכבים. הדברים נכונים ביתר שאת במקרה שבו קורבן העבירה הוא קטין, שטרם השלים את התפתחותו הגופנית, הנפשית והשכלית. או אז הפגיעה עלולה להיות חמורה במיוחד ולהעמיד בסיכון את סיכוייו לגדול להיות אדם שלם ומאושר. השבר עמוק עוד יותר שעה שמבצע העבירות הוא אדם שהקורבן רואה בו דמות חיובית ונותן בו את אמונו (פסקה 45).</w:t>
      </w:r>
      <w:r>
        <w:rPr>
          <w:rFonts w:ascii="Times New Roman" w:hAnsi="Times New Roman" w:cs="Times New Roman"/>
          <w:spacing w:val="0"/>
          <w:szCs w:val="20"/>
          <w:rtl/>
        </w:rPr>
        <w:t xml:space="preserve"> </w:t>
      </w:r>
    </w:p>
    <w:p w:rsidR="00827B66" w:rsidRDefault="00827B66" w:rsidP="00827B66">
      <w:pPr>
        <w:shd w:val="clear" w:color="auto" w:fill="FFFFFF"/>
        <w:ind w:right="1276"/>
        <w:jc w:val="both"/>
        <w:rPr>
          <w:sz w:val="22"/>
          <w:rtl/>
        </w:rPr>
      </w:pPr>
    </w:p>
    <w:p w:rsidR="00827B66" w:rsidRDefault="00827B66" w:rsidP="00827B66">
      <w:pPr>
        <w:pStyle w:val="Ruller4"/>
        <w:numPr>
          <w:ilvl w:val="0"/>
          <w:numId w:val="0"/>
        </w:numPr>
        <w:ind w:left="800"/>
        <w:rPr>
          <w:rtl/>
        </w:rPr>
      </w:pPr>
      <w:r>
        <w:rPr>
          <w:rtl/>
        </w:rPr>
        <w:t>...</w:t>
      </w:r>
      <w:r>
        <w:rPr>
          <w:rtl/>
        </w:rPr>
        <w:tab/>
      </w:r>
    </w:p>
    <w:p w:rsidR="00827B66" w:rsidRDefault="00827B66" w:rsidP="00827B66">
      <w:pPr>
        <w:pStyle w:val="Ruller4"/>
        <w:numPr>
          <w:ilvl w:val="0"/>
          <w:numId w:val="0"/>
        </w:numPr>
        <w:ind w:left="800"/>
        <w:rPr>
          <w:rtl/>
        </w:rPr>
      </w:pPr>
    </w:p>
    <w:p w:rsidR="00827B66" w:rsidRDefault="00827B66" w:rsidP="00827B66">
      <w:pPr>
        <w:pStyle w:val="Ruller4"/>
        <w:numPr>
          <w:ilvl w:val="0"/>
          <w:numId w:val="0"/>
        </w:numPr>
        <w:ind w:left="800"/>
        <w:rPr>
          <w:rtl/>
        </w:rPr>
      </w:pPr>
      <w:r>
        <w:rPr>
          <w:rtl/>
        </w:rPr>
        <w:t>... מעשים נלוזים כדוגמת אלה שביצע המערער, מחייבים ענישה מחמירה ונוקשה המבטאת את חומרת העבירה שביצע, את הסלידה העמוקה של החברה מהן ולא פחות חשוב מכך – את ההכרה בסבלה של המתלוננת ובדמעות שהיא נאלצה למחות. כמו כן, מטרתה של הענישה בעבירה דנן היא להביא להרתעה אינדיווידואלית וציבורית יעילה ומספקת, כך שעבירות מעין אלה ימוגרו ממחוזותינו (</w:t>
      </w:r>
      <w:hyperlink r:id="rId10" w:history="1">
        <w:r>
          <w:rPr>
            <w:rStyle w:val="Hyperlink"/>
            <w:rtl/>
          </w:rPr>
          <w:t>ע"פ 677/09</w:t>
        </w:r>
      </w:hyperlink>
      <w:r>
        <w:rPr>
          <w:rtl/>
        </w:rPr>
        <w:t xml:space="preserve"> </w:t>
      </w:r>
      <w:r>
        <w:rPr>
          <w:rFonts w:hint="cs"/>
          <w:rtl/>
        </w:rPr>
        <w:t xml:space="preserve">פלוני נ' מדינת ישראל (25.10.2009); </w:t>
      </w:r>
      <w:hyperlink r:id="rId11" w:history="1">
        <w:r>
          <w:rPr>
            <w:rStyle w:val="Hyperlink"/>
            <w:rtl/>
          </w:rPr>
          <w:t>ע"פ 2240/21</w:t>
        </w:r>
      </w:hyperlink>
      <w:r>
        <w:rPr>
          <w:rtl/>
        </w:rPr>
        <w:t xml:space="preserve"> </w:t>
      </w:r>
      <w:r>
        <w:rPr>
          <w:rFonts w:hint="cs"/>
          <w:rtl/>
        </w:rPr>
        <w:t xml:space="preserve">מדינת ישראל נ' שחר, פסקה 17 (8.11.2021); </w:t>
      </w:r>
      <w:hyperlink r:id="rId12" w:history="1">
        <w:r>
          <w:rPr>
            <w:rStyle w:val="Hyperlink"/>
            <w:rtl/>
          </w:rPr>
          <w:t>ע"פ 7880/19</w:t>
        </w:r>
      </w:hyperlink>
      <w:r>
        <w:rPr>
          <w:rtl/>
        </w:rPr>
        <w:t xml:space="preserve"> </w:t>
      </w:r>
      <w:r>
        <w:rPr>
          <w:rFonts w:hint="cs"/>
          <w:rtl/>
        </w:rPr>
        <w:t xml:space="preserve">פלוני נ' מדינת ישראל, פסקה 83 (2.8.2022)). בהקשר זה ראוי להדגיש שחלה תמורה במדיניות הענישה בעבירות מין בשנים האחרונות, כך שהמדיניות הנוהגת כיום מחמירה מזו שנהגה בעבר, בייחוד במקרים שבהם נפגע העבירה הוא קטין (עניין פלוני, בפסקה 46; </w:t>
      </w:r>
      <w:hyperlink r:id="rId13" w:history="1">
        <w:r>
          <w:rPr>
            <w:rStyle w:val="Hyperlink"/>
            <w:rtl/>
          </w:rPr>
          <w:t>ע"פ 5839/22</w:t>
        </w:r>
      </w:hyperlink>
      <w:r>
        <w:rPr>
          <w:rtl/>
        </w:rPr>
        <w:t xml:space="preserve"> </w:t>
      </w:r>
      <w:r>
        <w:rPr>
          <w:rFonts w:hint="cs"/>
          <w:rtl/>
        </w:rPr>
        <w:t>פלוני נ' מדינת ישראל, פסקה 10 והאסמכתאות שם (27.10.2022))."</w:t>
      </w:r>
    </w:p>
    <w:p w:rsidR="00827B66" w:rsidRDefault="00827B66" w:rsidP="00827B66">
      <w:pPr>
        <w:spacing w:line="360" w:lineRule="auto"/>
        <w:ind w:firstLine="84"/>
        <w:jc w:val="both"/>
        <w:rPr>
          <w:rFonts w:ascii="David" w:hAnsi="David"/>
          <w:rtl/>
        </w:rPr>
      </w:pPr>
    </w:p>
    <w:p w:rsidR="00827B66" w:rsidRDefault="00827B66" w:rsidP="00827B66">
      <w:pPr>
        <w:pStyle w:val="ad"/>
        <w:numPr>
          <w:ilvl w:val="0"/>
          <w:numId w:val="2"/>
        </w:numPr>
        <w:spacing w:line="360" w:lineRule="auto"/>
        <w:ind w:left="84" w:firstLine="0"/>
        <w:jc w:val="both"/>
      </w:pPr>
      <w:r>
        <w:rPr>
          <w:rtl/>
        </w:rPr>
        <w:t xml:space="preserve">בע"פ 11100/08 </w:t>
      </w:r>
      <w:r>
        <w:rPr>
          <w:b/>
          <w:bCs/>
          <w:rtl/>
        </w:rPr>
        <w:t>שרעבי נ' מדינת ישראל</w:t>
      </w:r>
      <w:r>
        <w:rPr>
          <w:rtl/>
        </w:rPr>
        <w:t xml:space="preserve"> (14.9.2011) </w:t>
      </w:r>
      <w:r>
        <w:rPr>
          <w:rFonts w:ascii="David" w:hAnsi="David"/>
          <w:rtl/>
        </w:rPr>
        <w:t>- נדון ערעורו של אדם שהתנפל על ילדה בת 12 בעת שחזרה לביתה בשעת לילה מאוחרת מפעילות חברתית, בעל אותה למרות שהתחננה כי יניח לה והותיר אותה המומה וחבולה. הילדה עברה טלטלה נפשית קשה כתוצאה מהמעשה והיא רחוקה מהחלמה. בית המשפט המחוזי גזר על המערער 14 שנות מאסר בפועל ופיצוי בגובה 100,000 ₪, ובית המשפט העליון לא התערב במידת העונש.</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pPr>
      <w:r>
        <w:rPr>
          <w:rtl/>
        </w:rPr>
        <w:t>ב</w:t>
      </w:r>
      <w:r>
        <w:rPr>
          <w:rFonts w:ascii="David" w:hAnsi="David"/>
          <w:rtl/>
        </w:rPr>
        <w:t xml:space="preserve">ע"פ 2285/10 </w:t>
      </w:r>
      <w:r>
        <w:rPr>
          <w:rFonts w:ascii="David" w:hAnsi="David"/>
          <w:b/>
          <w:bCs/>
          <w:rtl/>
        </w:rPr>
        <w:t>פלוני נ' מדינת ישראל</w:t>
      </w:r>
      <w:r>
        <w:rPr>
          <w:rFonts w:ascii="David" w:hAnsi="David"/>
          <w:rtl/>
        </w:rPr>
        <w:t xml:space="preserve"> (2.3.2011) – נדון ערעור של אדם ששכנע ילדה כבת 12 לעזור לו בנשיאת שקיות, לקח אותה לחורשה מבודדת ושם הודיע לה כי בכוונתו לקיים עמה יחסי מין, איים עליה שאם תצעק או תתנגד ידקור אותה וירצח את בני משפחתה, ובהמשך בעל אותה באיבר המין ובפי הטבעת. מעשי המערער גרמו לילדה פצעים וקרע בפי הטבעת, המטומה וקרע קרום הבתולין, וכן חבלות נוספות. המערער היה צעיר מתחת לגיל 21 ואף על פי כן נגזרו עליו 15 שנות מאסר בפועל וחודשיים (בגין הפעלת מאסר על-תנאי). בית המשפט העליון קיבל את ערעור המדינה כך שעונש המאסר בפועל הוחמר ל-17 שנים וחודשיים.</w:t>
      </w:r>
    </w:p>
    <w:p w:rsidR="00827B66" w:rsidRDefault="00827B66" w:rsidP="00827B66">
      <w:pPr>
        <w:pStyle w:val="ad"/>
        <w:spacing w:line="360" w:lineRule="auto"/>
        <w:ind w:left="84"/>
        <w:jc w:val="both"/>
      </w:pPr>
    </w:p>
    <w:p w:rsidR="00827B66" w:rsidRDefault="00827B66" w:rsidP="00827B66">
      <w:pPr>
        <w:pStyle w:val="ad"/>
        <w:numPr>
          <w:ilvl w:val="0"/>
          <w:numId w:val="2"/>
        </w:numPr>
        <w:spacing w:line="360" w:lineRule="auto"/>
        <w:ind w:left="84" w:firstLine="0"/>
        <w:jc w:val="both"/>
        <w:rPr>
          <w:rFonts w:ascii="David" w:hAnsi="David"/>
        </w:rPr>
      </w:pPr>
      <w:r>
        <w:rPr>
          <w:rFonts w:ascii="David" w:hAnsi="David"/>
          <w:rtl/>
        </w:rPr>
        <w:t xml:space="preserve">בע"פ 4124/21 </w:t>
      </w:r>
      <w:r>
        <w:rPr>
          <w:rFonts w:ascii="David" w:hAnsi="David"/>
          <w:b/>
          <w:bCs/>
          <w:rtl/>
        </w:rPr>
        <w:t>מדינת ישראל נ' רימוני</w:t>
      </w:r>
      <w:r>
        <w:rPr>
          <w:rFonts w:ascii="David" w:hAnsi="David"/>
          <w:rtl/>
        </w:rPr>
        <w:t xml:space="preserve"> (1.6.2022) – המשיב פרץ לדירה בה ישנה קטינה בת 10 במטרה לגנוב. הוא הצטייד בסכין והסתובב בדירה. כשהבחין בקטינה תקף אותה מינית באכזריות רבה ובאופן שהסב לה פגיעות קשות. בית המשפט העליון החמיר את העונש שנגזר על אותו משיב מ-17 שנות מאסר בפועל ל-20.</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rPr>
          <w:rFonts w:ascii="David" w:hAnsi="David"/>
          <w:rtl/>
        </w:rPr>
      </w:pPr>
      <w:r>
        <w:rPr>
          <w:rFonts w:ascii="David" w:hAnsi="David"/>
          <w:rtl/>
        </w:rPr>
        <w:t xml:space="preserve">שלושת פסקי הדין שנסקרו לעיל הוגשו על ידי המאשימה, ונסיבותיהם חמורות (אם כי לא במידה ניכרת) מנסיבות המקרה שלפנינו. </w:t>
      </w:r>
    </w:p>
    <w:p w:rsidR="00827B66" w:rsidRDefault="00827B66" w:rsidP="00827B66">
      <w:pPr>
        <w:pStyle w:val="ad"/>
        <w:rPr>
          <w:rFonts w:ascii="David" w:hAnsi="David"/>
          <w:rtl/>
        </w:rPr>
      </w:pPr>
    </w:p>
    <w:p w:rsidR="00827B66" w:rsidRDefault="00827B66" w:rsidP="00827B66">
      <w:pPr>
        <w:pStyle w:val="ad"/>
        <w:spacing w:line="360" w:lineRule="auto"/>
        <w:ind w:left="84" w:firstLine="636"/>
        <w:jc w:val="both"/>
        <w:rPr>
          <w:rFonts w:ascii="David" w:hAnsi="David"/>
        </w:rPr>
      </w:pPr>
      <w:r>
        <w:rPr>
          <w:rFonts w:ascii="David" w:hAnsi="David"/>
          <w:rtl/>
        </w:rPr>
        <w:t xml:space="preserve">לעומת זה, בע"פ 6074/22 </w:t>
      </w:r>
      <w:r>
        <w:rPr>
          <w:rFonts w:ascii="David" w:hAnsi="David"/>
          <w:b/>
          <w:bCs/>
          <w:rtl/>
        </w:rPr>
        <w:t>פלוני נ' מדינת ישראל</w:t>
      </w:r>
      <w:r>
        <w:rPr>
          <w:rFonts w:ascii="David" w:hAnsi="David"/>
          <w:rtl/>
        </w:rPr>
        <w:t xml:space="preserve"> (13.3.2023) פסק בית המשפט העליון כי עונש של 7.5 שנות מאסר בפועל, שגזר בית המשפט המחוזי על נאשם שניהל משפט עד תום והורשע במעשה סדום בקטין בן 11, בנו של חברו, חורג באופן מובחן לקולה ממדיניות הענישה הנוהגת בעבירות מין כלפי קטינים, ואם היה מוגש ערעור על ידי המדינה היה זה מתקבל והעונש מוחמר למספר דו-ספרתי.</w:t>
      </w:r>
    </w:p>
    <w:p w:rsidR="00827B66" w:rsidRDefault="00827B66" w:rsidP="00827B66">
      <w:pPr>
        <w:pStyle w:val="ad"/>
        <w:spacing w:line="360" w:lineRule="auto"/>
        <w:ind w:left="84" w:firstLine="636"/>
        <w:jc w:val="both"/>
        <w:rPr>
          <w:rFonts w:ascii="David" w:hAnsi="David"/>
          <w:rtl/>
        </w:rPr>
      </w:pPr>
    </w:p>
    <w:p w:rsidR="00827B66" w:rsidRDefault="00827B66" w:rsidP="00827B66">
      <w:pPr>
        <w:pStyle w:val="ad"/>
        <w:spacing w:line="360" w:lineRule="auto"/>
        <w:ind w:left="84" w:firstLine="636"/>
        <w:jc w:val="both"/>
        <w:rPr>
          <w:rFonts w:ascii="David" w:hAnsi="David"/>
          <w:rtl/>
        </w:rPr>
      </w:pPr>
      <w:r>
        <w:rPr>
          <w:rFonts w:ascii="David" w:hAnsi="David"/>
          <w:rtl/>
        </w:rPr>
        <w:t xml:space="preserve">ובע"פ 1778/20 </w:t>
      </w:r>
      <w:r>
        <w:rPr>
          <w:rFonts w:ascii="David" w:hAnsi="David"/>
          <w:b/>
          <w:bCs/>
          <w:rtl/>
        </w:rPr>
        <w:t>אבו ג'ודה נ' מדינת ישראל</w:t>
      </w:r>
      <w:r>
        <w:rPr>
          <w:rFonts w:ascii="David" w:hAnsi="David"/>
          <w:rtl/>
        </w:rPr>
        <w:t xml:space="preserve"> (13.6.2021) דחה בית המשפט העליון ערעור על הכרעת הדין ועל חומרת העונש, 9 שנות מאסר בפועל (בתוך מתחם עונש הולם שנע בין 7 ל-12 שנות מאסר), שגזר בית המשפט המחוזי על עובד ניקיון שלכד באמתלת שווא חיילת בשירות חובה בתא שירותים ושם ביצע בה אונס אלים שהותיא בה חבלות גוף. </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rPr>
          <w:rtl/>
        </w:rPr>
      </w:pPr>
      <w:r>
        <w:rPr>
          <w:rtl/>
        </w:rPr>
        <w:t xml:space="preserve">המערער טען, כאמור, כי רמת הענישה כלפי מקרים של אינוס באמצעות האצבעות נופלת משמעותית מרמת הענישה שננקטת בעניינם של אלה שבעלו את קורבנם באמצעות איבר המין. </w:t>
      </w:r>
    </w:p>
    <w:p w:rsidR="00827B66" w:rsidRDefault="00827B66" w:rsidP="00827B66">
      <w:pPr>
        <w:pStyle w:val="ad"/>
        <w:rPr>
          <w:rtl/>
        </w:rPr>
      </w:pPr>
    </w:p>
    <w:p w:rsidR="00827B66" w:rsidRDefault="00827B66" w:rsidP="00827B66">
      <w:pPr>
        <w:pStyle w:val="ad"/>
        <w:spacing w:line="360" w:lineRule="auto"/>
        <w:ind w:left="84" w:firstLine="636"/>
        <w:jc w:val="both"/>
      </w:pPr>
      <w:r>
        <w:rPr>
          <w:rtl/>
        </w:rPr>
        <w:t xml:space="preserve">לאחר עיון בפסיקה שהגישה ההגנה לעניין זה סבורני כי טענה זו אינה מדויקת, ועל כל פנים קשה להצדיק הקלה משמעותית וגורפת בעונשו של אנס רק משום שאת המעשה ביצע לא באמצעות איבר המין אלא באמצעות איבר אחר מאיברי גופו, או באמצעות חפץ. אלה ואלה מעשי </w:t>
      </w:r>
      <w:r>
        <w:rPr>
          <w:rtl/>
        </w:rPr>
        <w:lastRenderedPageBreak/>
        <w:t>אינוס, והענישה צריכה להתאים עצמה לנסיבות המקרה וכמובן גם למיהותו של נפגע העבירה, ולעניין אחרון זה לא הרי מעשה אינוס שבוצע באישה כמעשה אינוס שבוצע בילדה, כבענייננו.</w:t>
      </w:r>
    </w:p>
    <w:p w:rsidR="00827B66" w:rsidRDefault="00827B66" w:rsidP="00827B66">
      <w:pPr>
        <w:pStyle w:val="ad"/>
        <w:spacing w:line="360" w:lineRule="auto"/>
        <w:ind w:left="84" w:firstLine="636"/>
        <w:jc w:val="both"/>
        <w:rPr>
          <w:rtl/>
        </w:rPr>
      </w:pPr>
    </w:p>
    <w:p w:rsidR="00827B66" w:rsidRDefault="00827B66" w:rsidP="00827B66">
      <w:pPr>
        <w:pStyle w:val="ad"/>
        <w:numPr>
          <w:ilvl w:val="0"/>
          <w:numId w:val="2"/>
        </w:numPr>
        <w:spacing w:line="360" w:lineRule="auto"/>
        <w:ind w:left="84" w:firstLine="0"/>
        <w:jc w:val="both"/>
        <w:rPr>
          <w:rtl/>
        </w:rPr>
      </w:pPr>
      <w:r>
        <w:rPr>
          <w:rtl/>
        </w:rPr>
        <w:t>אבחן אפוא את פסקי הדין שהגישה ההגנה בתמיכה לטיעוניה באספקלריה זו:</w:t>
      </w:r>
    </w:p>
    <w:p w:rsidR="00827B66" w:rsidRDefault="00827B66" w:rsidP="00827B66">
      <w:pPr>
        <w:pStyle w:val="ad"/>
        <w:rPr>
          <w:rtl/>
        </w:rPr>
      </w:pPr>
    </w:p>
    <w:p w:rsidR="00827B66" w:rsidRDefault="00827B66" w:rsidP="00827B66">
      <w:pPr>
        <w:pStyle w:val="ad"/>
        <w:numPr>
          <w:ilvl w:val="0"/>
          <w:numId w:val="2"/>
        </w:numPr>
        <w:spacing w:line="360" w:lineRule="auto"/>
        <w:ind w:left="84" w:firstLine="0"/>
        <w:jc w:val="both"/>
      </w:pPr>
      <w:r>
        <w:rPr>
          <w:rtl/>
        </w:rPr>
        <w:t xml:space="preserve">בע"פ </w:t>
      </w:r>
      <w:r>
        <w:rPr>
          <w:rFonts w:ascii="David" w:hAnsi="David"/>
          <w:rtl/>
        </w:rPr>
        <w:t xml:space="preserve">752/06 </w:t>
      </w:r>
      <w:r>
        <w:rPr>
          <w:rFonts w:ascii="David" w:hAnsi="David"/>
          <w:b/>
          <w:bCs/>
          <w:rtl/>
        </w:rPr>
        <w:t>פלוני נ' מדינת ישראל</w:t>
      </w:r>
      <w:r>
        <w:rPr>
          <w:rFonts w:ascii="David" w:hAnsi="David"/>
          <w:rtl/>
        </w:rPr>
        <w:t xml:space="preserve"> (10.8.2006) גזר בית המשפט המחוזי 4 שנות מאסר בפועל על אדם שהורשע בדעת רוב בכך שהתנפל על ילדה בת 14 ברחוב, ביצע בה מעשים מגונים והחדיר אצבעותיו לאיבר מינה. בית המשפט העליון דחה את הערעור על הכרעת הדין, וביחס לגזר הדין קבע בזו הלשון: "</w:t>
      </w:r>
      <w:r>
        <w:rPr>
          <w:rFonts w:ascii="Miriam" w:hAnsi="Miriam" w:cs="Miriam"/>
          <w:rtl/>
        </w:rPr>
        <w:t>החדרת אצבעות לאיבר המין הוגדרה על ידי המחוקק כאונס וכך יש לראות את הדברים. ספק בעיני, אם היה מקום לאמירתו של בית המשפט קמא, כי מדובר באונס שאינו במדרג החמור ביותר, במיוחד כך בהתחשב במיהותה של המתלוננת, אורח חייה, והפגיעה שהיווה המעשה בכל רקמת חייה. מדובר במעשה ברוטאלי ואכזרי לצד עבירת המין שבו. נסיבות חייו של המערער נלקחו בחשבון ושוקללו, ואולי אף שוקללו ביתר.</w:t>
      </w:r>
      <w:r>
        <w:rPr>
          <w:rFonts w:ascii="David" w:hAnsi="David"/>
          <w:rtl/>
        </w:rPr>
        <w:t>".</w:t>
      </w:r>
    </w:p>
    <w:p w:rsidR="00827B66" w:rsidRDefault="00827B66" w:rsidP="00827B66">
      <w:pPr>
        <w:pStyle w:val="ad"/>
        <w:spacing w:line="360" w:lineRule="auto"/>
        <w:ind w:left="84" w:firstLine="636"/>
        <w:jc w:val="both"/>
        <w:rPr>
          <w:rtl/>
        </w:rPr>
      </w:pPr>
    </w:p>
    <w:p w:rsidR="00827B66" w:rsidRDefault="00827B66" w:rsidP="00827B66">
      <w:pPr>
        <w:pStyle w:val="ad"/>
        <w:spacing w:line="360" w:lineRule="auto"/>
        <w:ind w:left="84" w:firstLine="636"/>
        <w:jc w:val="both"/>
        <w:rPr>
          <w:rtl/>
        </w:rPr>
      </w:pPr>
      <w:r>
        <w:rPr>
          <w:rtl/>
        </w:rPr>
        <w:t>הנה כי כן, ניכר שדעתו של בית המשפט העליון לא הייתה נוחה מן העונש המקל שגזרה ערכאת הדיון.</w:t>
      </w:r>
    </w:p>
    <w:p w:rsidR="00827B66" w:rsidRDefault="00827B66" w:rsidP="00827B66">
      <w:pPr>
        <w:pStyle w:val="ad"/>
        <w:spacing w:line="360" w:lineRule="auto"/>
        <w:ind w:left="84" w:firstLine="636"/>
        <w:jc w:val="both"/>
        <w:rPr>
          <w:rtl/>
        </w:rPr>
      </w:pPr>
    </w:p>
    <w:p w:rsidR="00827B66" w:rsidRDefault="00827B66" w:rsidP="00827B66">
      <w:pPr>
        <w:pStyle w:val="ad"/>
        <w:numPr>
          <w:ilvl w:val="0"/>
          <w:numId w:val="2"/>
        </w:numPr>
        <w:spacing w:line="360" w:lineRule="auto"/>
        <w:ind w:left="84" w:firstLine="0"/>
        <w:jc w:val="both"/>
        <w:rPr>
          <w:rtl/>
        </w:rPr>
      </w:pPr>
      <w:r>
        <w:rPr>
          <w:rFonts w:ascii="David" w:hAnsi="David"/>
          <w:rtl/>
        </w:rPr>
        <w:t xml:space="preserve">גם בע"פ 5587/06 </w:t>
      </w:r>
      <w:r>
        <w:rPr>
          <w:rFonts w:ascii="David" w:hAnsi="David"/>
          <w:b/>
          <w:bCs/>
          <w:rtl/>
        </w:rPr>
        <w:t>סייג נ' מדינת ישראל</w:t>
      </w:r>
      <w:r>
        <w:rPr>
          <w:rFonts w:ascii="David" w:hAnsi="David"/>
          <w:rtl/>
        </w:rPr>
        <w:t xml:space="preserve"> (26.7.2007), ערעור ההגנה על עונש של 5 שנות מאסר בפועל שנגזרו על בעלים של מועדון שביצע אינוס אצבעות בעובדת המקום, כבת 19, הביע בית המשפט העליון את דעתו על העונש באופן דומה: "</w:t>
      </w:r>
      <w:r>
        <w:rPr>
          <w:rFonts w:ascii="Miriam" w:hAnsi="Miriam" w:cs="Miriam"/>
          <w:rtl/>
        </w:rPr>
        <w:t>(ו)לא זו בלבד שלא מצאנו כי בית המשפט המחוזי החמיר עם המערער, אלא שלהשקפתנו הוא נהג בו בדרך מתונה ביותר</w:t>
      </w:r>
      <w:r>
        <w:rPr>
          <w:rFonts w:ascii="David" w:hAnsi="David"/>
          <w:rtl/>
        </w:rPr>
        <w:t>".</w:t>
      </w:r>
    </w:p>
    <w:p w:rsidR="00827B66" w:rsidRDefault="00827B66" w:rsidP="00827B66">
      <w:pPr>
        <w:pStyle w:val="ad"/>
        <w:spacing w:line="360" w:lineRule="auto"/>
        <w:ind w:left="84" w:firstLine="636"/>
        <w:jc w:val="both"/>
        <w:rPr>
          <w:rtl/>
        </w:rPr>
      </w:pPr>
    </w:p>
    <w:p w:rsidR="00827B66" w:rsidRDefault="00827B66" w:rsidP="00827B66">
      <w:pPr>
        <w:pStyle w:val="ad"/>
        <w:numPr>
          <w:ilvl w:val="0"/>
          <w:numId w:val="2"/>
        </w:numPr>
        <w:spacing w:line="360" w:lineRule="auto"/>
        <w:ind w:left="84" w:firstLine="0"/>
        <w:jc w:val="both"/>
        <w:rPr>
          <w:rtl/>
        </w:rPr>
      </w:pPr>
      <w:r>
        <w:rPr>
          <w:rtl/>
        </w:rPr>
        <w:t xml:space="preserve">בע"פ </w:t>
      </w:r>
      <w:r>
        <w:rPr>
          <w:rFonts w:ascii="David" w:hAnsi="David"/>
          <w:rtl/>
        </w:rPr>
        <w:t xml:space="preserve">3124/18  </w:t>
      </w:r>
      <w:r>
        <w:rPr>
          <w:rFonts w:ascii="David" w:hAnsi="David"/>
          <w:b/>
          <w:bCs/>
          <w:rtl/>
        </w:rPr>
        <w:t xml:space="preserve">פלוני נ' מדינת ישראל </w:t>
      </w:r>
      <w:r>
        <w:rPr>
          <w:rFonts w:ascii="David" w:hAnsi="David"/>
          <w:rtl/>
        </w:rPr>
        <w:t xml:space="preserve">(14.8.2019) נדונו ערעורים הדדיים בעניינו של אדם, שנכנס אל מחלקת יולדות בבית חולים, ובאמתלה שעליו לבצע בדיקה פנימית ביולדת, החדיר את אצבעו לאיבר מינה. המערער ביצע מעשה מגונה מינורי ביולדת נוספת. בית המשפט העליון דחה את הערעור נגד הכרעת הדין, וקיבל את ערעור המדינה על קולת העונש, 39 חודשי מאסר בפועל, כך שעל המערער הושתו, מבלי למצות את הדין, 51 חודשי מאסר בפועל. </w:t>
      </w:r>
    </w:p>
    <w:p w:rsidR="00827B66" w:rsidRDefault="00827B66" w:rsidP="00827B66">
      <w:pPr>
        <w:pStyle w:val="ad"/>
        <w:spacing w:line="360" w:lineRule="auto"/>
        <w:ind w:left="84"/>
        <w:jc w:val="both"/>
        <w:rPr>
          <w:rFonts w:ascii="David" w:hAnsi="David"/>
          <w:rtl/>
        </w:rPr>
      </w:pPr>
    </w:p>
    <w:p w:rsidR="00827B66" w:rsidRDefault="00827B66" w:rsidP="00827B66">
      <w:pPr>
        <w:pStyle w:val="ad"/>
        <w:spacing w:line="360" w:lineRule="auto"/>
        <w:ind w:left="84" w:firstLine="636"/>
        <w:jc w:val="both"/>
      </w:pPr>
      <w:r>
        <w:rPr>
          <w:rFonts w:ascii="David" w:hAnsi="David"/>
          <w:rtl/>
        </w:rPr>
        <w:t>ב</w:t>
      </w:r>
      <w:r>
        <w:rPr>
          <w:rtl/>
        </w:rPr>
        <w:t xml:space="preserve">פסק הדין, מפי כב' השופט א' שטיין, נקבע כי על בתי המשפט לצאת מנקודת הנחה כי העונש המרבי שנקבע לעבירה (באותו מקרה 16 שנות מאסר) הוא העונש שיש להטילו בנסיבות חמורות ביותר, בנסיבות בעלות חומרה בינונית מן הראוי, ככלל, להטיל את מחצית העונש המרבי, ורק בנסיבות מקלות מן הדין להקל מעבר לכך [ראו גם ע"פ 212/79 </w:t>
      </w:r>
      <w:r>
        <w:rPr>
          <w:b/>
          <w:bCs/>
          <w:rtl/>
        </w:rPr>
        <w:t>פלוני נ' מדינת ישראל</w:t>
      </w:r>
      <w:r>
        <w:rPr>
          <w:rtl/>
        </w:rPr>
        <w:t xml:space="preserve">, פ"ד </w:t>
      </w:r>
      <w:r>
        <w:rPr>
          <w:rtl/>
        </w:rPr>
        <w:lastRenderedPageBreak/>
        <w:t xml:space="preserve">לד(2) 421, 423 (1979); ע"פ 5855/15 </w:t>
      </w:r>
      <w:r>
        <w:rPr>
          <w:b/>
          <w:bCs/>
          <w:rtl/>
        </w:rPr>
        <w:t>לוגסי נ' מדינת ישראל</w:t>
      </w:r>
      <w:r>
        <w:rPr>
          <w:rtl/>
        </w:rPr>
        <w:t xml:space="preserve">, פסקה 12 לפסק דינו של כב' השופט א' שהם וע"פ 4272/04 </w:t>
      </w:r>
      <w:r>
        <w:rPr>
          <w:b/>
          <w:bCs/>
          <w:rtl/>
        </w:rPr>
        <w:t>פלוני נ' מדינת ישראל</w:t>
      </w:r>
      <w:r>
        <w:rPr>
          <w:rtl/>
        </w:rPr>
        <w:t xml:space="preserve">, פ"ד נט(6) 175, 189 (2005)]. </w:t>
      </w:r>
    </w:p>
    <w:p w:rsidR="00827B66" w:rsidRDefault="00827B66" w:rsidP="00827B66">
      <w:pPr>
        <w:pStyle w:val="ad"/>
        <w:spacing w:line="360" w:lineRule="auto"/>
        <w:ind w:left="84" w:firstLine="636"/>
        <w:jc w:val="both"/>
        <w:rPr>
          <w:rtl/>
        </w:rPr>
      </w:pPr>
    </w:p>
    <w:p w:rsidR="00827B66" w:rsidRDefault="00827B66" w:rsidP="00827B66">
      <w:pPr>
        <w:pStyle w:val="ad"/>
        <w:spacing w:line="360" w:lineRule="auto"/>
        <w:ind w:left="84" w:firstLine="636"/>
        <w:jc w:val="both"/>
        <w:rPr>
          <w:rtl/>
        </w:rPr>
      </w:pPr>
      <w:r>
        <w:rPr>
          <w:rtl/>
        </w:rPr>
        <w:t>משנקבע כי נסיבות האינוס שביצע המערער שם במתלוננת העיקרית היו בדרגת חומרה בינונית, ורק משום כך, הועמד מתחם העונש ההולם בידי ערכאת הערעור על 5 עד 8 שנות מאסר בגין מעשה האינוס לבדו, ויושם אל לב כי נפגעת העבירה במקרה זה הייתה בגירה.</w:t>
      </w:r>
    </w:p>
    <w:p w:rsidR="00827B66" w:rsidRDefault="00827B66" w:rsidP="00827B66">
      <w:pPr>
        <w:pStyle w:val="ad"/>
        <w:spacing w:line="360" w:lineRule="auto"/>
        <w:ind w:left="84" w:firstLine="636"/>
        <w:jc w:val="both"/>
        <w:rPr>
          <w:rtl/>
        </w:rPr>
      </w:pPr>
    </w:p>
    <w:p w:rsidR="00827B66" w:rsidRDefault="00827B66" w:rsidP="00827B66">
      <w:pPr>
        <w:pStyle w:val="ad"/>
        <w:numPr>
          <w:ilvl w:val="0"/>
          <w:numId w:val="2"/>
        </w:numPr>
        <w:spacing w:line="360" w:lineRule="auto"/>
        <w:ind w:left="84" w:firstLine="0"/>
        <w:jc w:val="both"/>
        <w:rPr>
          <w:rtl/>
        </w:rPr>
      </w:pPr>
      <w:r>
        <w:rPr>
          <w:rFonts w:ascii="David" w:hAnsi="David"/>
          <w:rtl/>
        </w:rPr>
        <w:t xml:space="preserve">ע"פ 4936/11 </w:t>
      </w:r>
      <w:r>
        <w:rPr>
          <w:rFonts w:ascii="David" w:hAnsi="David"/>
          <w:b/>
          <w:bCs/>
          <w:rtl/>
        </w:rPr>
        <w:t>פלוני נ' מדינת ישראל</w:t>
      </w:r>
      <w:r>
        <w:rPr>
          <w:rFonts w:ascii="David" w:hAnsi="David"/>
          <w:rtl/>
        </w:rPr>
        <w:t xml:space="preserve"> (31.12.2012) וע"פ 8991/17 </w:t>
      </w:r>
      <w:r>
        <w:rPr>
          <w:rFonts w:ascii="David" w:hAnsi="David"/>
          <w:b/>
          <w:bCs/>
          <w:rtl/>
        </w:rPr>
        <w:t>פלוני נ' מדינת ישראל</w:t>
      </w:r>
      <w:r>
        <w:rPr>
          <w:rFonts w:ascii="David" w:hAnsi="David"/>
          <w:rtl/>
        </w:rPr>
        <w:t xml:space="preserve"> (4.10.2018), עסקו אף הם במקרי אינוס אצבעות שביצעו אחים בבתי חולים במתלוננות בגירות, ועל כן העונשים שנפסקו באותם מקרים אינם יכולים לדעתי לשמש אמת מידה טובה לעונש שמן הראוי לגזור במקרה הנוכחי.</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pPr>
      <w:r>
        <w:rPr>
          <w:rtl/>
        </w:rPr>
        <w:t xml:space="preserve">יתר פסקי הדין אליהם הפנתה ההגנה לא דומים בנסיבותיהם לעניינו של הנאשם כאן, ויצוין כי אף לא אחד מהם עסק במקרה בו בגיר ביצע מעשה דומה בקטינה: </w:t>
      </w:r>
    </w:p>
    <w:p w:rsidR="00827B66" w:rsidRDefault="00827B66" w:rsidP="00827B66">
      <w:pPr>
        <w:pStyle w:val="ad"/>
      </w:pPr>
    </w:p>
    <w:p w:rsidR="00827B66" w:rsidRDefault="00827B66" w:rsidP="00827B66">
      <w:pPr>
        <w:pStyle w:val="ad"/>
        <w:spacing w:line="360" w:lineRule="auto"/>
        <w:ind w:left="84" w:firstLine="636"/>
        <w:jc w:val="both"/>
      </w:pPr>
      <w:r>
        <w:rPr>
          <w:rtl/>
        </w:rPr>
        <w:t>כך, ב</w:t>
      </w:r>
      <w:r>
        <w:rPr>
          <w:rFonts w:ascii="David" w:hAnsi="David"/>
          <w:rtl/>
        </w:rPr>
        <w:t xml:space="preserve">ע"פ 7063/14 </w:t>
      </w:r>
      <w:r>
        <w:rPr>
          <w:rFonts w:ascii="David" w:hAnsi="David"/>
          <w:b/>
          <w:bCs/>
          <w:rtl/>
        </w:rPr>
        <w:t>רבאיעה נ' מדינת ישראל</w:t>
      </w:r>
      <w:r>
        <w:rPr>
          <w:rFonts w:ascii="David" w:hAnsi="David"/>
          <w:rtl/>
        </w:rPr>
        <w:t xml:space="preserve"> (19.11.2015), נדון ערעור הגנה על הכרעת הדין ועונש מאסר בן 4 שנים שנגזר על נהג מונית שהסיע אישה לאחר בילוי, ובעודה ישנה ביצע בה מעשים מגונים וכן החדיר אצבעותיו לאיבר מינה. נגזרו עליו 4 שנות מאסר בפועל. כיוון שהערעור על הכרעת הדין התקבל במובן זה שהמערער זוכה מעבירת מעשה מגונה אחת, הופחת העונש לכדי 40 חודשי מאסר.</w:t>
      </w:r>
    </w:p>
    <w:p w:rsidR="00827B66" w:rsidRDefault="00827B66" w:rsidP="00827B66">
      <w:pPr>
        <w:pStyle w:val="ad"/>
        <w:spacing w:line="360" w:lineRule="auto"/>
        <w:ind w:left="84" w:firstLine="636"/>
        <w:jc w:val="both"/>
        <w:rPr>
          <w:rtl/>
        </w:rPr>
      </w:pPr>
    </w:p>
    <w:p w:rsidR="00827B66" w:rsidRDefault="00827B66" w:rsidP="00827B66">
      <w:pPr>
        <w:pStyle w:val="ad"/>
        <w:spacing w:line="360" w:lineRule="auto"/>
        <w:ind w:left="84" w:firstLine="636"/>
        <w:jc w:val="both"/>
        <w:rPr>
          <w:rFonts w:ascii="David" w:hAnsi="David"/>
          <w:rtl/>
        </w:rPr>
      </w:pPr>
      <w:r>
        <w:rPr>
          <w:rtl/>
        </w:rPr>
        <w:t>ב</w:t>
      </w:r>
      <w:r>
        <w:rPr>
          <w:rFonts w:ascii="David" w:hAnsi="David"/>
          <w:rtl/>
        </w:rPr>
        <w:t xml:space="preserve">ע"פ 7764/16 </w:t>
      </w:r>
      <w:r>
        <w:rPr>
          <w:rFonts w:ascii="David" w:hAnsi="David"/>
          <w:b/>
          <w:bCs/>
          <w:rtl/>
        </w:rPr>
        <w:t>גולדנבלט נ' מדינת ישראל</w:t>
      </w:r>
      <w:r>
        <w:rPr>
          <w:rFonts w:ascii="David" w:hAnsi="David"/>
          <w:rtl/>
        </w:rPr>
        <w:t xml:space="preserve"> (30.4.2017) נדחה ערעור נגד חומרת העונש, 22 חודשי מאסר בפועל, שגזר בית המשפט המחוזי על מעסה שביצע תוך כדי הטיפול מעשים מגונים ואינוס אצבעות יחיד במטופלת בגירה. הערעור נדחה תוך הפניה לפסק דין אחר בו נקבע שעונש של 15 חודשי מאסר על מעסה שביצע מעשה דומה הוא "</w:t>
      </w:r>
      <w:r>
        <w:rPr>
          <w:rFonts w:ascii="Miriam" w:hAnsi="Miriam" w:cs="Miriam"/>
          <w:rtl/>
        </w:rPr>
        <w:t>מקל יחסית</w:t>
      </w:r>
      <w:r>
        <w:rPr>
          <w:rFonts w:ascii="David" w:hAnsi="David"/>
          <w:rtl/>
        </w:rPr>
        <w:t>".</w:t>
      </w:r>
    </w:p>
    <w:p w:rsidR="00827B66" w:rsidRDefault="00827B66" w:rsidP="00827B66">
      <w:pPr>
        <w:pStyle w:val="ad"/>
        <w:spacing w:line="360" w:lineRule="auto"/>
        <w:ind w:left="84" w:firstLine="636"/>
        <w:jc w:val="both"/>
        <w:rPr>
          <w:rFonts w:ascii="David" w:hAnsi="David"/>
          <w:rtl/>
        </w:rPr>
      </w:pPr>
    </w:p>
    <w:p w:rsidR="00827B66" w:rsidRDefault="00827B66" w:rsidP="00827B66">
      <w:pPr>
        <w:pStyle w:val="ad"/>
        <w:spacing w:line="360" w:lineRule="auto"/>
        <w:ind w:left="84" w:firstLine="636"/>
        <w:jc w:val="both"/>
        <w:rPr>
          <w:rtl/>
        </w:rPr>
      </w:pPr>
      <w:r>
        <w:rPr>
          <w:rFonts w:ascii="David" w:hAnsi="David"/>
          <w:rtl/>
        </w:rPr>
        <w:t xml:space="preserve">בע"פ 4795/13 </w:t>
      </w:r>
      <w:r>
        <w:rPr>
          <w:rFonts w:ascii="David" w:hAnsi="David"/>
          <w:b/>
          <w:bCs/>
          <w:rtl/>
        </w:rPr>
        <w:t>בוזינסקי נ' מדינת ישראל</w:t>
      </w:r>
      <w:r>
        <w:rPr>
          <w:rFonts w:ascii="David" w:hAnsi="David"/>
          <w:rtl/>
        </w:rPr>
        <w:t xml:space="preserve"> (20.1.2014) נדון, בין היתר, ערעור נגד חומרת העונש, שנתיים מאסר (בדעת רוב; דעת המיעוט סברה שיש להשית על הנאשם עונש כפול) על צעיר שהתגפף בהסכמה עם צעירה ולאחר מכן החדיר לה אצבעות לאיבר המין, שלא בהסכמתה. בית המשפט העליון דחה את הערעור נגד העונש בפוסקו כי מדובר בעונש שנוטה "</w:t>
      </w:r>
      <w:r>
        <w:rPr>
          <w:rFonts w:ascii="Miriam" w:hAnsi="Miriam" w:cs="Miriam"/>
          <w:rtl/>
        </w:rPr>
        <w:t>לצד המחמיר פחות</w:t>
      </w:r>
      <w:r>
        <w:rPr>
          <w:rFonts w:ascii="David" w:hAnsi="David"/>
          <w:rtl/>
        </w:rPr>
        <w:t>".</w:t>
      </w:r>
    </w:p>
    <w:p w:rsidR="00827B66" w:rsidRDefault="00827B66" w:rsidP="00827B66">
      <w:pPr>
        <w:spacing w:line="360" w:lineRule="auto"/>
        <w:ind w:firstLine="84"/>
        <w:jc w:val="both"/>
        <w:rPr>
          <w:rFonts w:ascii="David" w:hAnsi="David"/>
          <w:rtl/>
        </w:rPr>
      </w:pPr>
    </w:p>
    <w:p w:rsidR="00827B66" w:rsidRDefault="00827B66" w:rsidP="00827B66">
      <w:pPr>
        <w:pStyle w:val="ad"/>
        <w:spacing w:line="360" w:lineRule="auto"/>
        <w:ind w:left="84" w:firstLine="636"/>
        <w:jc w:val="both"/>
        <w:rPr>
          <w:rFonts w:ascii="David" w:hAnsi="David"/>
          <w:rtl/>
        </w:rPr>
      </w:pPr>
      <w:r>
        <w:rPr>
          <w:rFonts w:ascii="David" w:hAnsi="David"/>
          <w:rtl/>
        </w:rPr>
        <w:t xml:space="preserve">ההגנה הפנתה גם לגזר דינו של בית המשפט המחוזי נצרת בתפ"ח (נצ') 31783-04-21 </w:t>
      </w:r>
      <w:r>
        <w:rPr>
          <w:rFonts w:ascii="David" w:hAnsi="David"/>
          <w:b/>
          <w:bCs/>
          <w:rtl/>
        </w:rPr>
        <w:t>מדינת ישראל נ' פלוני</w:t>
      </w:r>
      <w:r>
        <w:rPr>
          <w:rFonts w:ascii="David" w:hAnsi="David"/>
          <w:rtl/>
        </w:rPr>
        <w:t xml:space="preserve"> (8.1.2023), בו נגזר עונש של 6 שנות מאסר בפועל על מעשה של החדרת אצבעות שבוצע כלפי מתלוננת בגירה, אך יושם אל לב כי בית המשפט שם הבהיר שקיבל את עמדת </w:t>
      </w:r>
      <w:r>
        <w:rPr>
          <w:rFonts w:ascii="David" w:hAnsi="David"/>
          <w:rtl/>
        </w:rPr>
        <w:lastRenderedPageBreak/>
        <w:t>המאשימה שהגיעה העת להחמיר את רמת הענישה בעניינם של מבצעי עבירות מין בדגש על ביצוע אינוס באמצעות החדרת אצבעות לאיבר המין, "</w:t>
      </w:r>
      <w:r>
        <w:rPr>
          <w:rFonts w:ascii="Miriam" w:hAnsi="Miriam" w:cs="Miriam"/>
          <w:rtl/>
        </w:rPr>
        <w:t>באופן שיגלם את חומרת העבירה והנזק הכבד שהיא גורמת לקורבן, כמו גם יעביר מסר הרתעתי ברור לעברייני מין פוטנציאליים</w:t>
      </w:r>
      <w:r>
        <w:rPr>
          <w:rFonts w:ascii="David" w:hAnsi="David"/>
          <w:rtl/>
        </w:rPr>
        <w:t>".</w:t>
      </w:r>
    </w:p>
    <w:p w:rsidR="00827B66" w:rsidRDefault="00827B66" w:rsidP="00827B66">
      <w:pPr>
        <w:pStyle w:val="ad"/>
        <w:spacing w:line="360" w:lineRule="auto"/>
        <w:ind w:left="84" w:firstLine="636"/>
        <w:jc w:val="both"/>
        <w:rPr>
          <w:rFonts w:ascii="David" w:hAnsi="David"/>
          <w:rtl/>
        </w:rPr>
      </w:pPr>
    </w:p>
    <w:p w:rsidR="00827B66" w:rsidRDefault="00827B66" w:rsidP="00827B66">
      <w:pPr>
        <w:pStyle w:val="ad"/>
        <w:numPr>
          <w:ilvl w:val="0"/>
          <w:numId w:val="2"/>
        </w:numPr>
        <w:spacing w:line="360" w:lineRule="auto"/>
        <w:ind w:left="84" w:firstLine="0"/>
        <w:jc w:val="both"/>
        <w:rPr>
          <w:rtl/>
        </w:rPr>
      </w:pPr>
      <w:r>
        <w:rPr>
          <w:rtl/>
        </w:rPr>
        <w:t>בהינתן חומרתו המופלגת של מעשה האינוס האלים שביצע הנאשם במתלוננת, בגילה של הקטינה בעת מעשה, בנזקים החמורים ארוכי הטווח שהסב הנאשם למתלוננת (וגם, כאמור, לאביה), יש לקבוע, כאמור, כי מעשי הנאשם הם בדרגת חומרה גבוהה. כפי שהסברנו לעיל, העובדה כי מעשה האינוס נעשה דווקא באמצעות אצבעות אינה דומיננטית, ואינה צריכה להיות דומיננטית, בכל הקשור לקביעת הענישה הראויה. משקל בכורה יינתן במקרה זה לשיקולים אחרים.</w:t>
      </w:r>
    </w:p>
    <w:p w:rsidR="00827B66" w:rsidRDefault="00827B66" w:rsidP="00827B66">
      <w:pPr>
        <w:pStyle w:val="ad"/>
        <w:spacing w:line="360" w:lineRule="auto"/>
        <w:ind w:left="84"/>
        <w:jc w:val="both"/>
        <w:rPr>
          <w:rtl/>
        </w:rPr>
      </w:pPr>
    </w:p>
    <w:p w:rsidR="00827B66" w:rsidRDefault="00827B66" w:rsidP="00827B66">
      <w:pPr>
        <w:pStyle w:val="ad"/>
        <w:spacing w:line="360" w:lineRule="auto"/>
        <w:ind w:left="84" w:firstLine="636"/>
        <w:jc w:val="both"/>
      </w:pPr>
      <w:r>
        <w:rPr>
          <w:rtl/>
        </w:rPr>
        <w:t xml:space="preserve">בנוסף יש לתת את הדעת לכך שהנאשם הורשע גם בעבירה של כניסה ושהייה בישראל שלא כדין. </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rPr>
          <w:rtl/>
        </w:rPr>
      </w:pPr>
      <w:r>
        <w:rPr>
          <w:rtl/>
        </w:rPr>
        <w:t xml:space="preserve">בהתאם להנחיית בית המשפט העליון בע"פ </w:t>
      </w:r>
      <w:r>
        <w:rPr>
          <w:rFonts w:ascii="David" w:hAnsi="David"/>
          <w:rtl/>
        </w:rPr>
        <w:t xml:space="preserve">3124/18 </w:t>
      </w:r>
      <w:r>
        <w:rPr>
          <w:rFonts w:ascii="David" w:hAnsi="David"/>
          <w:b/>
          <w:bCs/>
          <w:rtl/>
        </w:rPr>
        <w:t xml:space="preserve">פלוני נ' מדינת ישראל </w:t>
      </w:r>
      <w:r>
        <w:rPr>
          <w:rFonts w:ascii="David" w:hAnsi="David"/>
          <w:rtl/>
        </w:rPr>
        <w:t>(14.8.2019), באתי לכלל מסקנה כי מתחם העונש ההולם את מעשי הנאשם</w:t>
      </w:r>
      <w:r>
        <w:rPr>
          <w:rtl/>
        </w:rPr>
        <w:t xml:space="preserve"> עומד על 12 עד 17 שנות מאסר.</w:t>
      </w:r>
    </w:p>
    <w:p w:rsidR="00827B66" w:rsidRDefault="00827B66" w:rsidP="00827B66">
      <w:pPr>
        <w:pStyle w:val="ad"/>
        <w:rPr>
          <w:rtl/>
        </w:rPr>
      </w:pPr>
    </w:p>
    <w:p w:rsidR="00827B66" w:rsidRDefault="00827B66" w:rsidP="00827B66">
      <w:pPr>
        <w:pStyle w:val="ad"/>
        <w:spacing w:line="360" w:lineRule="auto"/>
        <w:ind w:left="84"/>
        <w:jc w:val="both"/>
      </w:pPr>
    </w:p>
    <w:p w:rsidR="00827B66" w:rsidRDefault="00827B66" w:rsidP="00827B66">
      <w:pPr>
        <w:spacing w:line="360" w:lineRule="auto"/>
        <w:ind w:firstLine="84"/>
        <w:jc w:val="both"/>
        <w:rPr>
          <w:rFonts w:ascii="David" w:hAnsi="David"/>
          <w:b/>
          <w:bCs/>
          <w:sz w:val="26"/>
          <w:szCs w:val="26"/>
          <w:u w:val="single"/>
          <w:rtl/>
        </w:rPr>
      </w:pPr>
      <w:r>
        <w:rPr>
          <w:rFonts w:ascii="David" w:hAnsi="David"/>
          <w:b/>
          <w:bCs/>
          <w:sz w:val="26"/>
          <w:szCs w:val="26"/>
          <w:u w:val="single"/>
          <w:rtl/>
        </w:rPr>
        <w:t>גזירת העונש</w:t>
      </w:r>
    </w:p>
    <w:p w:rsidR="00827B66" w:rsidRDefault="00827B66" w:rsidP="00827B66">
      <w:pPr>
        <w:pStyle w:val="ad"/>
        <w:numPr>
          <w:ilvl w:val="0"/>
          <w:numId w:val="2"/>
        </w:numPr>
        <w:spacing w:line="360" w:lineRule="auto"/>
        <w:ind w:left="84" w:firstLine="0"/>
        <w:jc w:val="both"/>
        <w:rPr>
          <w:rtl/>
        </w:rPr>
      </w:pPr>
      <w:r>
        <w:rPr>
          <w:rtl/>
        </w:rPr>
        <w:t xml:space="preserve">אינני סבור כי מן הראוי לגזור על הנאשם עונש בחלקו העליון של מתחם העונש ההולם, כפי שטענה המאשימה, אלא קרוב יותר לחלקו של המתחם, אך לא בתחתיתו. </w:t>
      </w:r>
    </w:p>
    <w:p w:rsidR="00827B66" w:rsidRDefault="00827B66" w:rsidP="00827B66">
      <w:pPr>
        <w:pStyle w:val="ad"/>
        <w:spacing w:line="360" w:lineRule="auto"/>
        <w:ind w:left="84"/>
        <w:jc w:val="both"/>
        <w:rPr>
          <w:rtl/>
        </w:rPr>
      </w:pPr>
    </w:p>
    <w:p w:rsidR="00827B66" w:rsidRDefault="00827B66" w:rsidP="00827B66">
      <w:pPr>
        <w:pStyle w:val="ad"/>
        <w:spacing w:line="360" w:lineRule="auto"/>
        <w:ind w:left="84" w:firstLine="636"/>
        <w:jc w:val="both"/>
      </w:pPr>
      <w:r>
        <w:rPr>
          <w:rtl/>
        </w:rPr>
        <w:t xml:space="preserve">הנאשם הוא אדם צעיר. אין לחובתו הרשעות קודמות. הנאשם אמנם ניהל את הליך הוכחות עד תום, אולם בכל זאת מצאתי להביא בחשבון לזכותו את נכוֹנוּתו לסיים את ההליך לאחר עדות המתלוננת באותו אופן שנקבע בסופו של דבר בהכרעת הדין, קרי: ללא הטענה כי בשלב מסוים ניסה לבעול את המתלוננת באמצעות איבר מינו. הנאשם אף הביע בסופו של דבר חרטה והוא גם היה נתון במעצר תקופה ממושכת. </w:t>
      </w:r>
    </w:p>
    <w:p w:rsidR="00827B66" w:rsidRDefault="00827B66" w:rsidP="00827B66">
      <w:pPr>
        <w:pStyle w:val="ad"/>
        <w:spacing w:line="360" w:lineRule="auto"/>
        <w:ind w:left="84" w:firstLine="636"/>
        <w:jc w:val="both"/>
        <w:rPr>
          <w:rtl/>
        </w:rPr>
      </w:pPr>
    </w:p>
    <w:p w:rsidR="00827B66" w:rsidRDefault="00827B66" w:rsidP="00827B66">
      <w:pPr>
        <w:pStyle w:val="ad"/>
        <w:spacing w:line="360" w:lineRule="auto"/>
        <w:ind w:left="84" w:firstLine="636"/>
        <w:jc w:val="both"/>
        <w:rPr>
          <w:rtl/>
        </w:rPr>
      </w:pPr>
      <w:r>
        <w:rPr>
          <w:rtl/>
        </w:rPr>
        <w:t xml:space="preserve">מן העבר השני, לאור תפיסת העולם המעוותת בה מחזיק הנאשם בכל הקשור ליחסיו עם בנות המין השני ראיתי מקום במקרה דנן לשקול בין שיקולי הענישה בתוך המתחם גם את הצורך להרתיע את הנאשם מפני ביצוע עבירה נוספת. בהתאם לפסיקת בית המשפט העליון מצאתי כי ישנה הצדקה להחמרה בעונשו של הנאשם גם לצורכי הרתעת הרבים. </w:t>
      </w:r>
    </w:p>
    <w:p w:rsidR="00827B66" w:rsidRDefault="00827B66" w:rsidP="00827B66">
      <w:pPr>
        <w:pStyle w:val="ad"/>
        <w:spacing w:line="360" w:lineRule="auto"/>
        <w:ind w:left="84" w:firstLine="636"/>
        <w:jc w:val="both"/>
        <w:rPr>
          <w:rtl/>
        </w:rPr>
      </w:pPr>
    </w:p>
    <w:p w:rsidR="00827B66" w:rsidRDefault="00827B66" w:rsidP="00827B66">
      <w:pPr>
        <w:pStyle w:val="ad"/>
        <w:numPr>
          <w:ilvl w:val="0"/>
          <w:numId w:val="2"/>
        </w:numPr>
        <w:spacing w:line="360" w:lineRule="auto"/>
        <w:ind w:left="84" w:firstLine="0"/>
        <w:jc w:val="both"/>
        <w:rPr>
          <w:rtl/>
        </w:rPr>
      </w:pPr>
      <w:r>
        <w:rPr>
          <w:rtl/>
        </w:rPr>
        <w:lastRenderedPageBreak/>
        <w:t>לאור האמור לעיל סבורני שהעונש העיקרי לו ראוי הנאשם הוא 14 שנות מאסר בפועל.</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pPr>
      <w:r>
        <w:rPr>
          <w:rtl/>
        </w:rPr>
        <w:t xml:space="preserve">הנאשם הוא תושב האזור. רועה צאן. לנאשם אין, ככל הנראה, מקורות כלכליים שיאפשרו לו לשאת בקנס כספי. בנסיבות אלה לא מצאתי לחייבו בקנס. </w:t>
      </w:r>
    </w:p>
    <w:p w:rsidR="00827B66" w:rsidRDefault="00827B66" w:rsidP="00827B66">
      <w:pPr>
        <w:pStyle w:val="ad"/>
      </w:pPr>
    </w:p>
    <w:p w:rsidR="00827B66" w:rsidRDefault="00827B66" w:rsidP="00827B66">
      <w:pPr>
        <w:pStyle w:val="ad"/>
        <w:numPr>
          <w:ilvl w:val="0"/>
          <w:numId w:val="2"/>
        </w:numPr>
        <w:spacing w:line="360" w:lineRule="auto"/>
        <w:ind w:left="84" w:firstLine="0"/>
        <w:jc w:val="both"/>
      </w:pPr>
      <w:r>
        <w:rPr>
          <w:rtl/>
        </w:rPr>
        <w:t xml:space="preserve">מצאתי לחייב את הנאשם בפיצוי משמעותי למתלוננת. פיצוי כספי לנפגע העבירה הוא רכיב הכרחי בעבירות המין, ודאי החמורות, שכן במקרים רבים נזקק הקורבן לסיוע כלכלי על מנת לממן את הטיפול המתחייב ממצבו לאחר מעשה, ויוכיח המקרה שלפנינו. אוסיף כי, כידוע, אין ולא כלום בין פיצוי פלילי לבין יכולתו הכספית של הנאשם [ראו, מני רבים, ע"פ  6882/14 </w:t>
      </w:r>
      <w:r>
        <w:rPr>
          <w:b/>
          <w:bCs/>
          <w:rtl/>
        </w:rPr>
        <w:t>פלוני נ' מדינת ישראל</w:t>
      </w:r>
      <w:r>
        <w:rPr>
          <w:rtl/>
        </w:rPr>
        <w:t xml:space="preserve"> (11.11.2015), פסקה 22 לפסק הדין].</w:t>
      </w:r>
    </w:p>
    <w:p w:rsidR="00827B66" w:rsidRDefault="00827B66" w:rsidP="00827B66">
      <w:pPr>
        <w:pStyle w:val="ad"/>
        <w:spacing w:line="360" w:lineRule="auto"/>
        <w:ind w:left="84"/>
        <w:jc w:val="both"/>
        <w:rPr>
          <w:rtl/>
        </w:rPr>
      </w:pPr>
    </w:p>
    <w:p w:rsidR="00827B66" w:rsidRDefault="00827B66" w:rsidP="00827B66">
      <w:pPr>
        <w:pStyle w:val="ad"/>
        <w:numPr>
          <w:ilvl w:val="0"/>
          <w:numId w:val="2"/>
        </w:numPr>
        <w:spacing w:line="360" w:lineRule="auto"/>
        <w:ind w:left="84" w:firstLine="0"/>
        <w:jc w:val="both"/>
      </w:pPr>
      <w:r>
        <w:rPr>
          <w:rtl/>
        </w:rPr>
        <w:t>שקלתי את כלל השיקולים הצריכים לעניין ומצאתי לגזור על הנאשם את העונשים הבאים:</w:t>
      </w:r>
    </w:p>
    <w:p w:rsidR="00827B66" w:rsidRDefault="00827B66" w:rsidP="00827B66">
      <w:pPr>
        <w:pStyle w:val="ad"/>
        <w:rPr>
          <w:rtl/>
        </w:rPr>
      </w:pPr>
    </w:p>
    <w:p w:rsidR="00827B66" w:rsidRDefault="00827B66" w:rsidP="00827B66">
      <w:pPr>
        <w:pStyle w:val="ad"/>
        <w:numPr>
          <w:ilvl w:val="0"/>
          <w:numId w:val="3"/>
        </w:numPr>
        <w:spacing w:line="360" w:lineRule="auto"/>
        <w:jc w:val="both"/>
      </w:pPr>
      <w:r>
        <w:rPr>
          <w:b/>
          <w:bCs/>
          <w:rtl/>
        </w:rPr>
        <w:t>מאסר בפועל בן 14 שנים</w:t>
      </w:r>
      <w:r>
        <w:rPr>
          <w:rtl/>
        </w:rPr>
        <w:t>, החל ביום מעצרו 14.4.2021.</w:t>
      </w:r>
    </w:p>
    <w:p w:rsidR="00827B66" w:rsidRDefault="00827B66" w:rsidP="00827B66">
      <w:pPr>
        <w:pStyle w:val="ad"/>
        <w:numPr>
          <w:ilvl w:val="0"/>
          <w:numId w:val="3"/>
        </w:numPr>
        <w:spacing w:line="360" w:lineRule="auto"/>
        <w:jc w:val="both"/>
        <w:rPr>
          <w:rtl/>
        </w:rPr>
      </w:pPr>
      <w:r>
        <w:rPr>
          <w:rtl/>
        </w:rPr>
        <w:t>מאסר על-תנאי בן 18 חודשים, לבל יעבור עבירת מין מסוג פשע במשך שלוש שנים מיום שחרורו ממאסר;</w:t>
      </w:r>
    </w:p>
    <w:p w:rsidR="00827B66" w:rsidRDefault="00827B66" w:rsidP="00827B66">
      <w:pPr>
        <w:pStyle w:val="ad"/>
        <w:numPr>
          <w:ilvl w:val="0"/>
          <w:numId w:val="3"/>
        </w:numPr>
        <w:spacing w:line="360" w:lineRule="auto"/>
        <w:jc w:val="both"/>
      </w:pPr>
      <w:r>
        <w:rPr>
          <w:rtl/>
        </w:rPr>
        <w:t>מאסר על-תנאי בן 9 חודשים, לבל יעבור עבירת מין מסוג עוון במשך שלוש שנים מיום שחרורו ממאסר;</w:t>
      </w:r>
    </w:p>
    <w:p w:rsidR="00827B66" w:rsidRDefault="00827B66" w:rsidP="00827B66">
      <w:pPr>
        <w:pStyle w:val="ad"/>
        <w:numPr>
          <w:ilvl w:val="0"/>
          <w:numId w:val="3"/>
        </w:numPr>
        <w:spacing w:line="360" w:lineRule="auto"/>
        <w:jc w:val="both"/>
      </w:pPr>
      <w:r>
        <w:rPr>
          <w:rtl/>
        </w:rPr>
        <w:t>מאסר על תנאי בן 3 חודשים, לבל יעבור עבירה לפי חוק הכניסה לישראל, התשי"ב-1952 במשך שלוש שנים מיום שחרורו ממאסר;</w:t>
      </w:r>
    </w:p>
    <w:p w:rsidR="00827B66" w:rsidRDefault="00827B66" w:rsidP="00827B66">
      <w:pPr>
        <w:pStyle w:val="ad"/>
        <w:numPr>
          <w:ilvl w:val="0"/>
          <w:numId w:val="3"/>
        </w:numPr>
        <w:spacing w:line="360" w:lineRule="auto"/>
        <w:jc w:val="both"/>
      </w:pPr>
      <w:r>
        <w:rPr>
          <w:rtl/>
        </w:rPr>
        <w:t>פיצוי בסך 120,000 ₪ למתלוננת. הפיצוי יופקד ב-20 תשלומים חודשיים שווים ורצופים, החל מיום 1.8.24. אם לא יופקד תשלום כלשהו במועדו, תעמוד היתרה לפירעון מידי.</w:t>
      </w:r>
    </w:p>
    <w:p w:rsidR="00827B66" w:rsidRDefault="00827B66" w:rsidP="00827B66">
      <w:pPr>
        <w:pStyle w:val="ad"/>
        <w:spacing w:line="360" w:lineRule="auto"/>
        <w:ind w:left="0"/>
        <w:jc w:val="both"/>
      </w:pPr>
    </w:p>
    <w:p w:rsidR="00827B66" w:rsidRDefault="00827B66" w:rsidP="00827B66">
      <w:pPr>
        <w:pStyle w:val="ad"/>
        <w:spacing w:line="360" w:lineRule="auto"/>
        <w:ind w:left="0" w:firstLine="84"/>
        <w:jc w:val="both"/>
        <w:rPr>
          <w:rFonts w:ascii="Narkisim" w:hAnsi="Narkisim" w:cs="Narkisim"/>
          <w:b/>
          <w:bCs/>
          <w:sz w:val="26"/>
          <w:szCs w:val="26"/>
          <w:u w:val="single"/>
        </w:rPr>
      </w:pPr>
      <w:r>
        <w:rPr>
          <w:rFonts w:ascii="Narkisim" w:hAnsi="Narkisim" w:cs="Narkisim"/>
          <w:b/>
          <w:bCs/>
          <w:sz w:val="26"/>
          <w:szCs w:val="26"/>
          <w:u w:val="single"/>
          <w:rtl/>
        </w:rPr>
        <w:t>השופט עמי קובו, אב"ד</w:t>
      </w:r>
    </w:p>
    <w:p w:rsidR="00827B66" w:rsidRDefault="00827B66" w:rsidP="00827B66">
      <w:pPr>
        <w:pStyle w:val="ad"/>
        <w:spacing w:line="360" w:lineRule="auto"/>
        <w:ind w:left="0" w:firstLine="84"/>
        <w:jc w:val="both"/>
        <w:rPr>
          <w:rtl/>
        </w:rPr>
      </w:pPr>
      <w:r>
        <w:rPr>
          <w:rtl/>
        </w:rPr>
        <w:t xml:space="preserve">אני מסכים. </w:t>
      </w:r>
    </w:p>
    <w:p w:rsidR="00827B66" w:rsidRDefault="00827B66" w:rsidP="00827B66">
      <w:pPr>
        <w:pStyle w:val="ad"/>
        <w:spacing w:line="360" w:lineRule="auto"/>
        <w:ind w:left="0"/>
        <w:jc w:val="both"/>
        <w:rPr>
          <w:rtl/>
        </w:rPr>
      </w:pPr>
    </w:p>
    <w:p w:rsidR="00827B66" w:rsidRDefault="00827B66" w:rsidP="00827B66">
      <w:pPr>
        <w:pStyle w:val="ad"/>
        <w:spacing w:line="360" w:lineRule="auto"/>
        <w:ind w:left="0" w:firstLine="84"/>
        <w:jc w:val="both"/>
        <w:rPr>
          <w:rFonts w:ascii="Bahnschrift Light Condensed" w:hAnsi="Bahnschrift Light Condensed" w:cs="Narkisim"/>
          <w:b/>
          <w:bCs/>
          <w:sz w:val="26"/>
          <w:szCs w:val="26"/>
          <w:u w:val="single"/>
          <w:rtl/>
        </w:rPr>
      </w:pPr>
      <w:r>
        <w:rPr>
          <w:rFonts w:ascii="Bahnschrift Light Condensed" w:hAnsi="Bahnschrift Light Condensed" w:cs="Narkisim"/>
          <w:b/>
          <w:bCs/>
          <w:sz w:val="26"/>
          <w:szCs w:val="26"/>
          <w:u w:val="single"/>
          <w:rtl/>
        </w:rPr>
        <w:t>השופטת מרב גרינברג</w:t>
      </w:r>
    </w:p>
    <w:p w:rsidR="00827B66" w:rsidRDefault="00827B66" w:rsidP="00827B66">
      <w:pPr>
        <w:spacing w:line="360" w:lineRule="auto"/>
        <w:ind w:firstLine="84"/>
        <w:jc w:val="both"/>
        <w:rPr>
          <w:b/>
          <w:bCs/>
          <w:u w:val="single"/>
          <w:rtl/>
        </w:rPr>
      </w:pPr>
      <w:r>
        <w:rPr>
          <w:rtl/>
        </w:rPr>
        <w:t>אני מסכימה.</w:t>
      </w:r>
    </w:p>
    <w:p w:rsidR="00827B66" w:rsidRDefault="00827B66" w:rsidP="00827B66">
      <w:pPr>
        <w:pStyle w:val="ad"/>
        <w:spacing w:line="360" w:lineRule="auto"/>
        <w:ind w:left="0"/>
        <w:jc w:val="both"/>
        <w:rPr>
          <w:b/>
          <w:bCs/>
          <w:u w:val="single"/>
          <w:rtl/>
        </w:rPr>
      </w:pPr>
    </w:p>
    <w:p w:rsidR="00827B66" w:rsidRDefault="00827B66" w:rsidP="00827B66">
      <w:pPr>
        <w:pStyle w:val="ad"/>
        <w:spacing w:line="360" w:lineRule="auto"/>
        <w:ind w:left="0"/>
        <w:jc w:val="both"/>
        <w:rPr>
          <w:b/>
          <w:bCs/>
          <w:u w:val="single"/>
          <w:rtl/>
        </w:rPr>
      </w:pPr>
      <w:r>
        <w:rPr>
          <w:b/>
          <w:bCs/>
          <w:u w:val="single"/>
          <w:rtl/>
        </w:rPr>
        <w:t xml:space="preserve">הוחלט כאמור בחוות דעתו של השופט קרשן. </w:t>
      </w:r>
    </w:p>
    <w:p w:rsidR="00827B66" w:rsidRDefault="00827B66" w:rsidP="00827B66">
      <w:pPr>
        <w:spacing w:line="360" w:lineRule="auto"/>
        <w:jc w:val="both"/>
        <w:rPr>
          <w:rtl/>
        </w:rPr>
      </w:pPr>
    </w:p>
    <w:p w:rsidR="00827B66" w:rsidRDefault="00827B66" w:rsidP="00827B66">
      <w:pPr>
        <w:spacing w:line="360" w:lineRule="auto"/>
        <w:jc w:val="both"/>
        <w:rPr>
          <w:b/>
          <w:bCs/>
          <w:rtl/>
        </w:rPr>
      </w:pPr>
      <w:r>
        <w:rPr>
          <w:b/>
          <w:bCs/>
          <w:rtl/>
        </w:rPr>
        <w:lastRenderedPageBreak/>
        <w:t>זכות ערעור לבית המשפט העליון תוך 45 יום.</w:t>
      </w:r>
    </w:p>
    <w:p w:rsidR="00827B66" w:rsidRDefault="00827B66" w:rsidP="00827B66">
      <w:pPr>
        <w:spacing w:line="360" w:lineRule="auto"/>
        <w:jc w:val="both"/>
        <w:rPr>
          <w:rtl/>
        </w:rPr>
      </w:pPr>
    </w:p>
    <w:p w:rsidR="00827B66" w:rsidRDefault="00827B66" w:rsidP="00827B66">
      <w:pPr>
        <w:spacing w:line="360" w:lineRule="auto"/>
        <w:jc w:val="both"/>
        <w:rPr>
          <w:rtl/>
        </w:rPr>
      </w:pPr>
      <w:r>
        <w:rPr>
          <w:rtl/>
        </w:rPr>
        <w:t>מזכירות בית המשפט תמציא את גזר הדין לשירות המבחן.</w:t>
      </w:r>
    </w:p>
    <w:p w:rsidR="00827B66" w:rsidRDefault="00827B66" w:rsidP="00827B66">
      <w:pPr>
        <w:rPr>
          <w:rFonts w:ascii="Arial" w:hAnsi="Arial"/>
          <w:b/>
          <w:bCs/>
          <w:sz w:val="26"/>
          <w:szCs w:val="26"/>
          <w:rtl/>
        </w:rPr>
      </w:pPr>
    </w:p>
    <w:p w:rsidR="00827B66" w:rsidRDefault="00827B66" w:rsidP="00827B66">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כ"א שבט תשפ"ד</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31 ינואר 2024</w:t>
          </w:r>
        </w:sdtContent>
      </w:sdt>
      <w:r>
        <w:rPr>
          <w:rFonts w:ascii="Arial" w:hAnsi="Arial"/>
          <w:b/>
          <w:bCs/>
          <w:sz w:val="26"/>
          <w:szCs w:val="26"/>
          <w:rtl/>
        </w:rPr>
        <w:t>, בנוכחות הצדדים.</w:t>
      </w:r>
    </w:p>
    <w:p w:rsidR="00827B66" w:rsidRDefault="00827B66" w:rsidP="00827B66">
      <w:pPr>
        <w:spacing w:line="360" w:lineRule="auto"/>
        <w:rPr>
          <w:rFonts w:cstheme="minorBidi"/>
          <w:sz w:val="22"/>
          <w:szCs w:val="22"/>
          <w:rtl/>
        </w:rPr>
      </w:pPr>
    </w:p>
    <w:tbl>
      <w:tblPr>
        <w:tblStyle w:val="a9"/>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827B66" w:rsidTr="00827B66">
        <w:tc>
          <w:tcPr>
            <w:tcW w:w="3383" w:type="dxa"/>
            <w:hideMark/>
          </w:tcPr>
          <w:sdt>
            <w:sdtPr>
              <w:rPr>
                <w:rFonts w:cs="Times New Roman"/>
                <w:sz w:val="20"/>
                <w:szCs w:val="20"/>
                <w:rtl/>
              </w:rPr>
              <w:alias w:val="MergeField"/>
              <w:tag w:val="2250"/>
              <w:id w:val="-130406988"/>
            </w:sdtPr>
            <w:sdtEndPr/>
            <w:sdtContent>
              <w:p w:rsidR="00827B66" w:rsidRDefault="00827B66">
                <w:pPr>
                  <w:jc w:val="center"/>
                  <w:rPr>
                    <w:sz w:val="20"/>
                    <w:szCs w:val="20"/>
                  </w:rPr>
                </w:pPr>
                <w:r>
                  <w:rPr>
                    <w:sz w:val="20"/>
                    <w:szCs w:val="20"/>
                  </w:rPr>
                  <w:drawing>
                    <wp:inline distT="0" distB="0" distL="0" distR="0">
                      <wp:extent cx="1524000" cy="5143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c>
          <w:tcPr>
            <w:tcW w:w="3536" w:type="dxa"/>
          </w:tcPr>
          <w:p w:rsidR="00827B66" w:rsidRDefault="00827B66">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827B66" w:rsidRDefault="00827B66">
                <w:pPr>
                  <w:jc w:val="center"/>
                  <w:rPr>
                    <w:rFonts w:cs="Times New Roman"/>
                    <w:sz w:val="20"/>
                    <w:szCs w:val="20"/>
                  </w:rPr>
                </w:pPr>
                <w:r>
                  <w:rPr>
                    <w:sz w:val="20"/>
                    <w:szCs w:val="20"/>
                  </w:rPr>
                  <w:drawing>
                    <wp:inline distT="0" distB="0" distL="0" distR="0">
                      <wp:extent cx="1571625" cy="8001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827B66" w:rsidRDefault="00827B66">
                <w:pPr>
                  <w:jc w:val="center"/>
                  <w:rPr>
                    <w:sz w:val="20"/>
                    <w:szCs w:val="20"/>
                    <w:rtl/>
                  </w:rPr>
                </w:pPr>
                <w:r>
                  <w:rPr>
                    <w:sz w:val="20"/>
                    <w:szCs w:val="20"/>
                  </w:rPr>
                  <w:drawing>
                    <wp:inline distT="0" distB="0" distL="0" distR="0">
                      <wp:extent cx="952500" cy="6667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p>
            </w:sdtContent>
          </w:sdt>
        </w:tc>
      </w:tr>
      <w:tr w:rsidR="00827B66" w:rsidTr="00827B66">
        <w:tc>
          <w:tcPr>
            <w:tcW w:w="3383" w:type="dxa"/>
            <w:hideMark/>
          </w:tcPr>
          <w:p w:rsidR="00827B66" w:rsidRDefault="00485C9F">
            <w:pPr>
              <w:spacing w:line="360" w:lineRule="auto"/>
              <w:jc w:val="center"/>
              <w:rPr>
                <w:rFonts w:ascii="David" w:hAnsi="David"/>
              </w:rPr>
            </w:pPr>
            <w:sdt>
              <w:sdtPr>
                <w:rPr>
                  <w:rtl/>
                </w:rPr>
                <w:alias w:val="2235"/>
                <w:tag w:val="2235"/>
                <w:id w:val="1100069598"/>
              </w:sdtPr>
              <w:sdtEndPr/>
              <w:sdtContent>
                <w:r w:rsidR="00827B66">
                  <w:rPr>
                    <w:rFonts w:ascii="David" w:hAnsi="David"/>
                    <w:rtl/>
                  </w:rPr>
                  <w:t>עמי</w:t>
                </w:r>
              </w:sdtContent>
            </w:sdt>
            <w:r w:rsidR="00827B66">
              <w:rPr>
                <w:rFonts w:ascii="David" w:hAnsi="David"/>
                <w:rtl/>
              </w:rPr>
              <w:t xml:space="preserve">  </w:t>
            </w:r>
            <w:sdt>
              <w:sdtPr>
                <w:rPr>
                  <w:rFonts w:cs="Times New Roman" w:hint="cs"/>
                  <w:rtl/>
                </w:rPr>
                <w:alias w:val="2240"/>
                <w:tag w:val="2240"/>
                <w:id w:val="825638415"/>
              </w:sdtPr>
              <w:sdtEndPr/>
              <w:sdtContent>
                <w:r w:rsidR="00827B66">
                  <w:rPr>
                    <w:rFonts w:ascii="David" w:hAnsi="David"/>
                    <w:rtl/>
                  </w:rPr>
                  <w:t>קובו</w:t>
                </w:r>
              </w:sdtContent>
            </w:sdt>
            <w:r w:rsidR="00827B66">
              <w:rPr>
                <w:rFonts w:ascii="David" w:hAnsi="David"/>
                <w:rtl/>
              </w:rPr>
              <w:t xml:space="preserve">, </w:t>
            </w:r>
            <w:sdt>
              <w:sdtPr>
                <w:rPr>
                  <w:rFonts w:cs="Times New Roman" w:hint="cs"/>
                  <w:rtl/>
                </w:rPr>
                <w:alias w:val="2245"/>
                <w:tag w:val="2245"/>
                <w:id w:val="533847746"/>
              </w:sdtPr>
              <w:sdtEndPr/>
              <w:sdtContent>
                <w:r w:rsidR="00827B66">
                  <w:rPr>
                    <w:rFonts w:ascii="David" w:hAnsi="David"/>
                    <w:rtl/>
                  </w:rPr>
                  <w:t>שופט, אב"ד</w:t>
                </w:r>
              </w:sdtContent>
            </w:sdt>
          </w:p>
        </w:tc>
        <w:tc>
          <w:tcPr>
            <w:tcW w:w="3536" w:type="dxa"/>
            <w:hideMark/>
          </w:tcPr>
          <w:p w:rsidR="00827B66" w:rsidRDefault="00485C9F">
            <w:pPr>
              <w:spacing w:line="360" w:lineRule="auto"/>
              <w:jc w:val="center"/>
              <w:rPr>
                <w:rFonts w:ascii="David" w:hAnsi="David"/>
              </w:rPr>
            </w:pPr>
            <w:sdt>
              <w:sdtPr>
                <w:rPr>
                  <w:rtl/>
                </w:rPr>
                <w:alias w:val="2236"/>
                <w:tag w:val="2236"/>
                <w:id w:val="639300144"/>
              </w:sdtPr>
              <w:sdtEndPr/>
              <w:sdtContent>
                <w:r w:rsidR="00827B66">
                  <w:rPr>
                    <w:rFonts w:ascii="David" w:hAnsi="David"/>
                    <w:rtl/>
                  </w:rPr>
                  <w:t>מיכאל</w:t>
                </w:r>
              </w:sdtContent>
            </w:sdt>
            <w:r w:rsidR="00827B66">
              <w:rPr>
                <w:rFonts w:ascii="David" w:hAnsi="David"/>
                <w:rtl/>
              </w:rPr>
              <w:t xml:space="preserve"> </w:t>
            </w:r>
            <w:sdt>
              <w:sdtPr>
                <w:rPr>
                  <w:rFonts w:cs="Times New Roman" w:hint="cs"/>
                  <w:rtl/>
                </w:rPr>
                <w:alias w:val="2241"/>
                <w:tag w:val="2241"/>
                <w:id w:val="-2097088705"/>
              </w:sdtPr>
              <w:sdtEndPr/>
              <w:sdtContent>
                <w:r w:rsidR="00827B66">
                  <w:rPr>
                    <w:rFonts w:ascii="David" w:hAnsi="David"/>
                    <w:rtl/>
                  </w:rPr>
                  <w:t>קרשן</w:t>
                </w:r>
              </w:sdtContent>
            </w:sdt>
            <w:r w:rsidR="00827B66">
              <w:rPr>
                <w:rFonts w:ascii="David" w:hAnsi="David"/>
                <w:rtl/>
              </w:rPr>
              <w:t xml:space="preserve">, </w:t>
            </w:r>
            <w:sdt>
              <w:sdtPr>
                <w:rPr>
                  <w:rFonts w:cs="Times New Roman" w:hint="cs"/>
                  <w:rtl/>
                </w:rPr>
                <w:alias w:val="2246"/>
                <w:tag w:val="2246"/>
                <w:id w:val="-1989393221"/>
              </w:sdtPr>
              <w:sdtEndPr/>
              <w:sdtContent>
                <w:r w:rsidR="00827B66">
                  <w:rPr>
                    <w:rFonts w:ascii="David" w:hAnsi="David"/>
                    <w:rtl/>
                  </w:rPr>
                  <w:t>שופט</w:t>
                </w:r>
              </w:sdtContent>
            </w:sdt>
          </w:p>
        </w:tc>
        <w:tc>
          <w:tcPr>
            <w:tcW w:w="3341" w:type="dxa"/>
            <w:hideMark/>
          </w:tcPr>
          <w:p w:rsidR="00827B66" w:rsidRDefault="00485C9F">
            <w:pPr>
              <w:spacing w:line="360" w:lineRule="auto"/>
              <w:jc w:val="center"/>
              <w:rPr>
                <w:rFonts w:ascii="David" w:hAnsi="David"/>
                <w:rtl/>
              </w:rPr>
            </w:pPr>
            <w:sdt>
              <w:sdtPr>
                <w:rPr>
                  <w:rtl/>
                </w:rPr>
                <w:alias w:val="2237"/>
                <w:tag w:val="2237"/>
                <w:id w:val="-31890643"/>
              </w:sdtPr>
              <w:sdtEndPr/>
              <w:sdtContent>
                <w:r w:rsidR="00827B66">
                  <w:rPr>
                    <w:rFonts w:ascii="David" w:hAnsi="David"/>
                    <w:rtl/>
                  </w:rPr>
                  <w:t>מרב</w:t>
                </w:r>
              </w:sdtContent>
            </w:sdt>
            <w:r w:rsidR="00827B66">
              <w:rPr>
                <w:rFonts w:ascii="David" w:hAnsi="David"/>
                <w:rtl/>
              </w:rPr>
              <w:t xml:space="preserve"> </w:t>
            </w:r>
            <w:sdt>
              <w:sdtPr>
                <w:rPr>
                  <w:rFonts w:cs="Times New Roman" w:hint="cs"/>
                  <w:rtl/>
                </w:rPr>
                <w:alias w:val="2242"/>
                <w:tag w:val="2242"/>
                <w:id w:val="358854881"/>
              </w:sdtPr>
              <w:sdtEndPr/>
              <w:sdtContent>
                <w:r w:rsidR="00827B66">
                  <w:rPr>
                    <w:rFonts w:ascii="David" w:hAnsi="David"/>
                    <w:rtl/>
                  </w:rPr>
                  <w:t>גרינברג</w:t>
                </w:r>
              </w:sdtContent>
            </w:sdt>
            <w:r w:rsidR="00827B66">
              <w:rPr>
                <w:rFonts w:ascii="David" w:hAnsi="David"/>
                <w:rtl/>
              </w:rPr>
              <w:t xml:space="preserve">, </w:t>
            </w:r>
            <w:sdt>
              <w:sdtPr>
                <w:rPr>
                  <w:rFonts w:cs="Times New Roman" w:hint="cs"/>
                  <w:rtl/>
                </w:rPr>
                <w:alias w:val="2247"/>
                <w:tag w:val="2247"/>
                <w:id w:val="243227774"/>
              </w:sdtPr>
              <w:sdtEndPr/>
              <w:sdtContent>
                <w:r w:rsidR="00827B66">
                  <w:rPr>
                    <w:rFonts w:ascii="David" w:hAnsi="David"/>
                    <w:rtl/>
                  </w:rPr>
                  <w:t>שופטת</w:t>
                </w:r>
              </w:sdtContent>
            </w:sdt>
          </w:p>
        </w:tc>
      </w:tr>
    </w:tbl>
    <w:p w:rsidR="00827B66" w:rsidRDefault="00827B66" w:rsidP="00827B66">
      <w:pPr>
        <w:spacing w:line="360" w:lineRule="auto"/>
        <w:jc w:val="both"/>
        <w:rPr>
          <w:rFonts w:asciiTheme="minorHAnsi" w:hAnsiTheme="minorHAnsi" w:cstheme="minorBidi"/>
          <w:sz w:val="22"/>
          <w:szCs w:val="22"/>
          <w:rtl/>
        </w:rPr>
      </w:pPr>
      <w:r>
        <w:rPr>
          <w:rtl/>
        </w:rPr>
        <w:t xml:space="preserve">  </w:t>
      </w:r>
    </w:p>
    <w:p w:rsidR="00827B66" w:rsidRDefault="00827B66" w:rsidP="00827B66">
      <w:pPr>
        <w:spacing w:line="360" w:lineRule="auto"/>
        <w:jc w:val="both"/>
        <w:rPr>
          <w:rFonts w:ascii="Arial" w:hAnsi="Arial"/>
          <w:b/>
          <w:bCs/>
          <w:sz w:val="26"/>
          <w:szCs w:val="26"/>
          <w:rtl/>
        </w:rPr>
      </w:pPr>
    </w:p>
    <w:p w:rsidR="00827B66" w:rsidRDefault="00827B66" w:rsidP="00827B66">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9101A8C03B2B4AD4A716AEFFB125E64D"/>
          </w:placeholder>
          <w:showingPlcHdr/>
          <w:text w:multiLine="1"/>
        </w:sdtPr>
        <w:sdtEndPr/>
        <w:sdtContent>
          <w:r>
            <w:rPr>
              <w:rFonts w:ascii="Arial" w:hAnsi="Arial"/>
              <w:b/>
              <w:bCs/>
              <w:sz w:val="26"/>
              <w:szCs w:val="26"/>
              <w:rtl/>
            </w:rPr>
            <w:t xml:space="preserve">    </w:t>
          </w:r>
        </w:sdtContent>
      </w:sdt>
    </w:p>
    <w:p w:rsidR="00827B66" w:rsidRDefault="00827B66" w:rsidP="00827B66">
      <w:pPr>
        <w:jc w:val="center"/>
        <w:rPr>
          <w:rFonts w:ascii="Arial" w:hAnsi="Arial"/>
          <w:b/>
          <w:bCs/>
          <w:sz w:val="26"/>
          <w:szCs w:val="26"/>
          <w:rtl/>
        </w:rPr>
      </w:pPr>
      <w:r>
        <w:rPr>
          <w:rFonts w:ascii="Arial" w:hAnsi="Arial"/>
          <w:b/>
          <w:bCs/>
          <w:sz w:val="26"/>
          <w:szCs w:val="26"/>
          <w:rtl/>
        </w:rPr>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שבט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ינואר 2024</w:t>
          </w:r>
        </w:sdtContent>
      </w:sdt>
      <w:r w:rsidR="00005C8B">
        <w:rPr>
          <w:rFonts w:ascii="Arial" w:hAnsi="Arial"/>
          <w:noProof w:val="0"/>
          <w:rtl/>
        </w:rPr>
        <w:t>, בהעדר הצדדים.</w:t>
      </w:r>
    </w:p>
    <w:p w:rsidR="00C43648" w:rsidRDefault="00485C9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67361092"/>
        </w:sdtPr>
        <w:sdtEndPr/>
        <w:sdtContent>
          <w:r w:rsidR="00BF214E">
            <w:drawing>
              <wp:inline distT="0" distB="0" distL="0" distR="0" wp14:editId="50D07946">
                <wp:extent cx="45624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4562475" cy="838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8"/>
      <w:headerReference w:type="default" r:id="rId19"/>
      <w:footerReference w:type="even" r:id="rId20"/>
      <w:footerReference w:type="default" r:id="rId21"/>
      <w:headerReference w:type="first" r:id="rId22"/>
      <w:footerReference w:type="first" r:id="rId2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C9F" w:rsidRDefault="00485C9F">
      <w:r>
        <w:separator/>
      </w:r>
    </w:p>
  </w:endnote>
  <w:endnote w:type="continuationSeparator" w:id="0">
    <w:p w:rsidR="00485C9F" w:rsidRDefault="0048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Bahnschrift Light Condensed">
    <w:panose1 w:val="020B0502040204020203"/>
    <w:charset w:val="00"/>
    <w:family w:val="swiss"/>
    <w:pitch w:val="variable"/>
    <w:sig w:usb0="A00002C7" w:usb1="00000002"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75E" w:rsidRDefault="000D075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0D075E">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0D075E">
      <w:rPr>
        <w:rStyle w:val="ab"/>
        <w:rFonts w:ascii="David" w:hAnsi="David"/>
        <w:rtl/>
      </w:rPr>
      <w:t>13</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75E" w:rsidRDefault="000D075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C9F" w:rsidRDefault="00485C9F">
      <w:r>
        <w:separator/>
      </w:r>
    </w:p>
  </w:footnote>
  <w:footnote w:type="continuationSeparator" w:id="0">
    <w:p w:rsidR="00485C9F" w:rsidRDefault="00485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75E" w:rsidRDefault="000D075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85C9F" w:rsidP="00827B66">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60563-04-21</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827B66">
                <w:rPr>
                  <w:rFonts w:hint="cs"/>
                  <w:b/>
                  <w:bCs/>
                  <w:noProof w:val="0"/>
                  <w:sz w:val="26"/>
                  <w:szCs w:val="26"/>
                  <w:rtl/>
                </w:rPr>
                <w:t xml:space="preserve">פלוני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75E" w:rsidRDefault="000D07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DE2E2E4A"/>
    <w:lvl w:ilvl="0" w:tplc="3EDE5F92">
      <w:start w:val="40"/>
      <w:numFmt w:val="decimal"/>
      <w:pStyle w:val="Ruller4"/>
      <w:lvlText w:val="%1."/>
      <w:lvlJc w:val="left"/>
      <w:pPr>
        <w:tabs>
          <w:tab w:val="num" w:pos="1707"/>
        </w:tabs>
        <w:ind w:left="800" w:firstLine="0"/>
      </w:pPr>
      <w:rPr>
        <w:color w:val="auto"/>
      </w:rPr>
    </w:lvl>
    <w:lvl w:ilvl="1" w:tplc="F22C3462">
      <w:start w:val="1"/>
      <w:numFmt w:val="lowerLetter"/>
      <w:lvlText w:val="%2."/>
      <w:lvlJc w:val="left"/>
      <w:pPr>
        <w:tabs>
          <w:tab w:val="num" w:pos="2240"/>
        </w:tabs>
        <w:ind w:left="2240" w:hanging="360"/>
      </w:pPr>
    </w:lvl>
    <w:lvl w:ilvl="2" w:tplc="F6D0208C">
      <w:start w:val="1"/>
      <w:numFmt w:val="lowerRoman"/>
      <w:lvlText w:val="%3."/>
      <w:lvlJc w:val="right"/>
      <w:pPr>
        <w:tabs>
          <w:tab w:val="num" w:pos="2960"/>
        </w:tabs>
        <w:ind w:left="2960" w:hanging="180"/>
      </w:pPr>
    </w:lvl>
    <w:lvl w:ilvl="3" w:tplc="E6EEDBEE">
      <w:start w:val="1"/>
      <w:numFmt w:val="decimal"/>
      <w:lvlText w:val="%4."/>
      <w:lvlJc w:val="left"/>
      <w:pPr>
        <w:tabs>
          <w:tab w:val="num" w:pos="3680"/>
        </w:tabs>
        <w:ind w:left="3680" w:hanging="360"/>
      </w:pPr>
    </w:lvl>
    <w:lvl w:ilvl="4" w:tplc="C810B9FC">
      <w:start w:val="1"/>
      <w:numFmt w:val="lowerLetter"/>
      <w:lvlText w:val="%5."/>
      <w:lvlJc w:val="left"/>
      <w:pPr>
        <w:tabs>
          <w:tab w:val="num" w:pos="4400"/>
        </w:tabs>
        <w:ind w:left="4400" w:hanging="360"/>
      </w:pPr>
    </w:lvl>
    <w:lvl w:ilvl="5" w:tplc="725219B4">
      <w:start w:val="1"/>
      <w:numFmt w:val="lowerRoman"/>
      <w:lvlText w:val="%6."/>
      <w:lvlJc w:val="right"/>
      <w:pPr>
        <w:tabs>
          <w:tab w:val="num" w:pos="5120"/>
        </w:tabs>
        <w:ind w:left="5120" w:hanging="180"/>
      </w:pPr>
    </w:lvl>
    <w:lvl w:ilvl="6" w:tplc="982C4A4A">
      <w:start w:val="1"/>
      <w:numFmt w:val="decimal"/>
      <w:lvlText w:val="%7."/>
      <w:lvlJc w:val="left"/>
      <w:pPr>
        <w:tabs>
          <w:tab w:val="num" w:pos="5840"/>
        </w:tabs>
        <w:ind w:left="5840" w:hanging="360"/>
      </w:pPr>
    </w:lvl>
    <w:lvl w:ilvl="7" w:tplc="6DB67614">
      <w:start w:val="1"/>
      <w:numFmt w:val="lowerLetter"/>
      <w:lvlText w:val="%8."/>
      <w:lvlJc w:val="left"/>
      <w:pPr>
        <w:tabs>
          <w:tab w:val="num" w:pos="6560"/>
        </w:tabs>
        <w:ind w:left="6560" w:hanging="360"/>
      </w:pPr>
    </w:lvl>
    <w:lvl w:ilvl="8" w:tplc="635890C2">
      <w:start w:val="1"/>
      <w:numFmt w:val="lowerRoman"/>
      <w:lvlText w:val="%9."/>
      <w:lvlJc w:val="right"/>
      <w:pPr>
        <w:tabs>
          <w:tab w:val="num" w:pos="7280"/>
        </w:tabs>
        <w:ind w:left="7280" w:hanging="180"/>
      </w:pPr>
    </w:lvl>
  </w:abstractNum>
  <w:abstractNum w:abstractNumId="1" w15:restartNumberingAfterBreak="0">
    <w:nsid w:val="4983737C"/>
    <w:multiLevelType w:val="hybridMultilevel"/>
    <w:tmpl w:val="60307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5D943835"/>
    <w:multiLevelType w:val="hybridMultilevel"/>
    <w:tmpl w:val="281E820C"/>
    <w:lvl w:ilvl="0" w:tplc="88AA8554">
      <w:start w:val="1"/>
      <w:numFmt w:val="decimal"/>
      <w:lvlText w:val="%1."/>
      <w:lvlJc w:val="left"/>
      <w:pPr>
        <w:ind w:left="804" w:hanging="360"/>
      </w:pPr>
      <w:rPr>
        <w:b w:val="0"/>
        <w:bCs w:val="0"/>
        <w:lang w:bidi="he-IL"/>
      </w:r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start w:val="1"/>
      <w:numFmt w:val="decimal"/>
      <w:lvlText w:val="%4."/>
      <w:lvlJc w:val="left"/>
      <w:pPr>
        <w:ind w:left="2964" w:hanging="360"/>
      </w:pPr>
    </w:lvl>
    <w:lvl w:ilvl="4" w:tplc="04090019">
      <w:start w:val="1"/>
      <w:numFmt w:val="lowerLetter"/>
      <w:lvlText w:val="%5."/>
      <w:lvlJc w:val="left"/>
      <w:pPr>
        <w:ind w:left="3684" w:hanging="360"/>
      </w:pPr>
    </w:lvl>
    <w:lvl w:ilvl="5" w:tplc="0409001B">
      <w:start w:val="1"/>
      <w:numFmt w:val="lowerRoman"/>
      <w:lvlText w:val="%6."/>
      <w:lvlJc w:val="right"/>
      <w:pPr>
        <w:ind w:left="4404" w:hanging="180"/>
      </w:pPr>
    </w:lvl>
    <w:lvl w:ilvl="6" w:tplc="0409000F">
      <w:start w:val="1"/>
      <w:numFmt w:val="decimal"/>
      <w:lvlText w:val="%7."/>
      <w:lvlJc w:val="left"/>
      <w:pPr>
        <w:ind w:left="5124" w:hanging="360"/>
      </w:pPr>
    </w:lvl>
    <w:lvl w:ilvl="7" w:tplc="04090019">
      <w:start w:val="1"/>
      <w:numFmt w:val="lowerLetter"/>
      <w:lvlText w:val="%8."/>
      <w:lvlJc w:val="left"/>
      <w:pPr>
        <w:ind w:left="5844" w:hanging="360"/>
      </w:pPr>
    </w:lvl>
    <w:lvl w:ilvl="8" w:tplc="0409001B">
      <w:start w:val="1"/>
      <w:numFmt w:val="lowerRoman"/>
      <w:lvlText w:val="%9."/>
      <w:lvlJc w:val="right"/>
      <w:pPr>
        <w:ind w:left="6564" w:hanging="180"/>
      </w:pPr>
    </w:lvl>
  </w:abstractNum>
  <w:num w:numId="1">
    <w:abstractNumId w:val="0"/>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8853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88530&amp;lt;/CaseID&amp;gt;_x000d__x000a_        &amp;lt;CaseMonth&amp;gt;4&amp;lt;/CaseMonth&amp;gt;_x000d__x000a_        &amp;lt;CaseYear&amp;gt;2021&amp;lt;/CaseYear&amp;gt;_x000d__x000a_        &amp;lt;CaseNumber&amp;gt;60563&amp;lt;/CaseNumber&amp;gt;_x000d__x000a_        &amp;lt;NumeratorGroupID&amp;gt;1&amp;lt;/NumeratorGroupID&amp;gt;_x000d__x000a_        &amp;lt;CaseName&amp;gt;מדינת ישראל נ&amp;#39; בראקע(עציר)&amp;lt;/CaseName&amp;gt;_x000d__x000a_        &amp;lt;CourtID&amp;gt;896&amp;lt;/CourtID&amp;gt;_x000d__x000a_        &amp;lt;CaseTypeID&amp;gt;10284&amp;lt;/CaseTypeID&amp;gt;_x000d__x000a_        &amp;lt;CaseJudgeName&amp;gt;עמי קובו&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0563-04-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1-04-28T09:56: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מוצגים יצאו לסריקה חיצונית עם בקשה שיוחזרו בסיום&amp;lt;/CaseDesc&amp;gt;_x000d__x000a_        &amp;lt;isExistMinorSide&amp;gt;false&amp;lt;/isExistMinorSide&amp;gt;_x000d__x000a_        &amp;lt;isExistMinorWitness&amp;gt;false&amp;lt;/isExistMinorWitness&amp;gt;_x000d__x000a_        &amp;lt;ArchivingActivityID&amp;gt;1&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88530&amp;lt;/CaseID&amp;gt;_x000d__x000a_        &amp;lt;CaseMonth&amp;gt;4&amp;lt;/CaseMonth&amp;gt;_x000d__x000a_        &amp;lt;CaseYear&amp;gt;2021&amp;lt;/CaseYear&amp;gt;_x000d__x000a_        &amp;lt;CaseNumber&amp;gt;60563&amp;lt;/CaseNumber&amp;gt;_x000d__x000a_        &amp;lt;NumeratorGroupID&amp;gt;1&amp;lt;/NumeratorGroupID&amp;gt;_x000d__x000a_        &amp;lt;CaseName&amp;gt;מדינת ישראל נ&amp;#39; בראקע(עציר)&amp;lt;/CaseName&amp;gt;_x000d__x000a_        &amp;lt;CourtID&amp;gt;896&amp;lt;/CourtID&amp;gt;_x000d__x000a_        &amp;lt;CaseTypeID&amp;gt;10284&amp;lt;/CaseTypeID&amp;gt;_x000d__x000a_        &amp;lt;CaseJudgeName&amp;gt;עמי קובו&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0563-04-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OpenDate&amp;gt;2021-04-28T09:56: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מוצגים יצאו לסריקה חיצונית עם בקשה שיוחזרו בסיום&amp;lt;/CaseDesc&amp;gt;_x000d__x000a_        &amp;lt;ArchivingActivityID&amp;gt;1&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587970&amp;lt;/DecisionID&amp;gt;_x000d__x000a_        &amp;lt;DecisionName&amp;gt;החלטה  שניתנה ע&amp;quot;י  עמי קובו&amp;lt;/DecisionName&amp;gt;_x000d__x000a_        &amp;lt;DecisionStatusID&amp;gt;1&amp;lt;/DecisionStatusID&amp;gt;_x000d__x000a_        &amp;lt;DecisionStatusChangeDate&amp;gt;2024-01-31T12:47:48.963+02:00&amp;lt;/DecisionStatusChangeDate&amp;gt;_x000d__x000a_        &amp;lt;DecisionSignatureDate&amp;gt;2024-01-31T12:46:22.837+02:00&amp;lt;/DecisionSignatureDate&amp;gt;_x000d__x000a_        &amp;lt;DecisionSignatureUserID&amp;gt;029737269@GOV.IL&amp;lt;/DecisionSignatureUserID&amp;gt;_x000d__x000a_        &amp;lt;DecisionCreateDate&amp;gt;2024-01-31T12:47:05.693+02:00&amp;lt;/DecisionCreateDate&amp;gt;_x000d__x000a_        &amp;lt;DecisionChangeDate&amp;gt;2024-01-31T12:47:49.68+02: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32199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49587970&amp;lt;/DecisionID&amp;gt;_x000d__x000a_        &amp;lt;CaseID&amp;gt;78288530&amp;lt;/CaseID&amp;gt;_x000d__x000a_        &amp;lt;IsOriginal&amp;gt;true&amp;lt;/IsOriginal&amp;gt;_x000d__x000a_        &amp;lt;IsDeleted&amp;gt;false&amp;lt;/IsDeleted&amp;gt;_x000d__x000a_        &amp;lt;CaseName&amp;gt;מדינת ישראל נ&amp;#39; בראקע(עציר)&amp;lt;/CaseName&amp;gt;_x000d__x000a_        &amp;lt;CaseDisplayIdentifier&amp;gt;60563-04-21 תפח&amp;quot;ע&amp;lt;/CaseDisplayIdentifier&amp;gt;_x000d__x000a_      &amp;lt;/dt_DecisionCase&amp;gt;_x000d__x000a_      &amp;lt;dt_DecisionJudgePanel diffgr:id=&amp;quot;dt_DecisionJudgePanel1&amp;quot; msdata:rowOrder=&amp;quot;0&amp;quot;&amp;gt;_x000d__x000a_        &amp;lt;DecisionID&amp;gt;149587970&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9587970&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9587970&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49587970"/>
    <w:docVar w:name="docID" w:val="433219910"/>
    <w:docVar w:name="judgeUPN" w:val="029737269@GOV.IL"/>
    <w:docVar w:name="NGCS.TemplateCaseInterestID" w:val="-1"/>
    <w:docVar w:name="NGCS.TemplateCaseTypeID" w:val="10284"/>
    <w:docVar w:name="NGCS.TemplateCourtID" w:val="896"/>
    <w:docVar w:name="NGCS.TemplateProceedingID" w:val="2"/>
    <w:docVar w:name="noteDocID" w:val="433219910"/>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45E64"/>
    <w:rsid w:val="000529D2"/>
    <w:rsid w:val="000564AB"/>
    <w:rsid w:val="00064FBD"/>
    <w:rsid w:val="00082AB2"/>
    <w:rsid w:val="000906FE"/>
    <w:rsid w:val="00096AF7"/>
    <w:rsid w:val="000B344B"/>
    <w:rsid w:val="000C3B0F"/>
    <w:rsid w:val="000C3B60"/>
    <w:rsid w:val="000D075E"/>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B4243"/>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85C9F"/>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27B66"/>
    <w:rsid w:val="00841158"/>
    <w:rsid w:val="00844318"/>
    <w:rsid w:val="00851257"/>
    <w:rsid w:val="00863F5D"/>
    <w:rsid w:val="00870890"/>
    <w:rsid w:val="00873602"/>
    <w:rsid w:val="00875D12"/>
    <w:rsid w:val="0088313D"/>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BF214E"/>
    <w:rsid w:val="00C22D93"/>
    <w:rsid w:val="00C23458"/>
    <w:rsid w:val="00C242CA"/>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827B66"/>
    <w:rPr>
      <w:color w:val="0000FF"/>
      <w:u w:val="single"/>
    </w:rPr>
  </w:style>
  <w:style w:type="paragraph" w:styleId="ad">
    <w:name w:val="List Paragraph"/>
    <w:basedOn w:val="a"/>
    <w:uiPriority w:val="34"/>
    <w:qFormat/>
    <w:rsid w:val="00827B66"/>
    <w:pPr>
      <w:ind w:left="720"/>
      <w:contextualSpacing/>
    </w:pPr>
    <w:rPr>
      <w:noProof w:val="0"/>
    </w:rPr>
  </w:style>
  <w:style w:type="character" w:customStyle="1" w:styleId="Ruller40">
    <w:name w:val="Ruller4 תו"/>
    <w:link w:val="Ruller41"/>
    <w:locked/>
    <w:rsid w:val="00827B66"/>
    <w:rPr>
      <w:rFonts w:ascii="Arial TUR" w:hAnsi="Arial TUR" w:cs="FrankRuehl"/>
      <w:spacing w:val="10"/>
      <w:szCs w:val="28"/>
    </w:rPr>
  </w:style>
  <w:style w:type="paragraph" w:customStyle="1" w:styleId="Ruller41">
    <w:name w:val="Ruller4"/>
    <w:basedOn w:val="a"/>
    <w:link w:val="Ruller40"/>
    <w:rsid w:val="00827B66"/>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5">
    <w:name w:val="Ruller5"/>
    <w:basedOn w:val="a"/>
    <w:rsid w:val="00827B66"/>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
    <w:name w:val="Ruller 4 ממוספר"/>
    <w:basedOn w:val="Ruller41"/>
    <w:next w:val="Ruller41"/>
    <w:rsid w:val="00827B66"/>
    <w:pPr>
      <w:numPr>
        <w:numId w:val="1"/>
      </w:numPr>
      <w:tabs>
        <w:tab w:val="clear" w:pos="1707"/>
        <w:tab w:val="num" w:pos="360"/>
        <w:tab w:val="num" w:pos="1080"/>
      </w:tabs>
      <w:ind w:left="0" w:hanging="720"/>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08409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28916093"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case/26226475" TargetMode="External"/><Relationship Id="rId17" Type="http://schemas.openxmlformats.org/officeDocument/2006/relationships/image" Target="media/image4.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7513365"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hyperlink" Target="http://www.nevo.co.il/case/6247343"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F2C4D0A0B2F74E4DAB481A40317FB397"/>
        <w:category>
          <w:name w:val="כללי"/>
          <w:gallery w:val="placeholder"/>
        </w:category>
        <w:types>
          <w:type w:val="bbPlcHdr"/>
        </w:types>
        <w:behaviors>
          <w:behavior w:val="content"/>
        </w:behaviors>
        <w:guid w:val="{08DD892D-EF5F-4EFE-91BC-A8C2F8B399F5}"/>
      </w:docPartPr>
      <w:docPartBody>
        <w:p w:rsidR="00643BEB" w:rsidRDefault="008B48D1" w:rsidP="008B48D1">
          <w:pPr>
            <w:pStyle w:val="F2C4D0A0B2F74E4DAB481A40317FB397"/>
          </w:pPr>
          <w:r>
            <w:rPr>
              <w:rFonts w:ascii="Arial" w:hAnsi="Arial"/>
              <w:b/>
              <w:bCs/>
              <w:sz w:val="26"/>
              <w:szCs w:val="26"/>
              <w:rtl/>
            </w:rPr>
            <w:t>שם צד א' ללא שם של חסוי</w:t>
          </w:r>
        </w:p>
      </w:docPartBody>
    </w:docPart>
    <w:docPart>
      <w:docPartPr>
        <w:name w:val="06D0DBDBAAB840D4AC8B7355FC71A7C2"/>
        <w:category>
          <w:name w:val="כללי"/>
          <w:gallery w:val="placeholder"/>
        </w:category>
        <w:types>
          <w:type w:val="bbPlcHdr"/>
        </w:types>
        <w:behaviors>
          <w:behavior w:val="content"/>
        </w:behaviors>
        <w:guid w:val="{C92AB7CE-C1E4-4587-86F4-53D8B35F081E}"/>
      </w:docPartPr>
      <w:docPartBody>
        <w:p w:rsidR="00643BEB" w:rsidRDefault="008B48D1" w:rsidP="008B48D1">
          <w:pPr>
            <w:pStyle w:val="06D0DBDBAAB840D4AC8B7355FC71A7C2"/>
          </w:pPr>
          <w:r>
            <w:rPr>
              <w:rFonts w:ascii="Arial" w:hAnsi="Arial"/>
              <w:b/>
              <w:bCs/>
              <w:sz w:val="26"/>
              <w:szCs w:val="26"/>
              <w:rtl/>
            </w:rPr>
            <w:t>שם צד ב' ללא שם של חסוי</w:t>
          </w:r>
        </w:p>
      </w:docPartBody>
    </w:docPart>
    <w:docPart>
      <w:docPartPr>
        <w:name w:val="9101A8C03B2B4AD4A716AEFFB125E64D"/>
        <w:category>
          <w:name w:val="כללי"/>
          <w:gallery w:val="placeholder"/>
        </w:category>
        <w:types>
          <w:type w:val="bbPlcHdr"/>
        </w:types>
        <w:behaviors>
          <w:behavior w:val="content"/>
        </w:behaviors>
        <w:guid w:val="{5FF10B17-5EAC-4513-8C0E-8961F525FA1A}"/>
      </w:docPartPr>
      <w:docPartBody>
        <w:p w:rsidR="00643BEB" w:rsidRDefault="008B48D1" w:rsidP="008B48D1">
          <w:pPr>
            <w:pStyle w:val="9101A8C03B2B4AD4A716AEFFB125E64D"/>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Bahnschrift Light Condensed">
    <w:panose1 w:val="020B0502040204020203"/>
    <w:charset w:val="00"/>
    <w:family w:val="swiss"/>
    <w:pitch w:val="variable"/>
    <w:sig w:usb0="A00002C7" w:usb1="00000002"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43BEB"/>
    <w:rsid w:val="00673B50"/>
    <w:rsid w:val="00793995"/>
    <w:rsid w:val="007C6F98"/>
    <w:rsid w:val="007E254A"/>
    <w:rsid w:val="008B4366"/>
    <w:rsid w:val="008B48D1"/>
    <w:rsid w:val="009133C7"/>
    <w:rsid w:val="009178E4"/>
    <w:rsid w:val="00961B27"/>
    <w:rsid w:val="00963243"/>
    <w:rsid w:val="009A36E7"/>
    <w:rsid w:val="00A74356"/>
    <w:rsid w:val="00AA7CE3"/>
    <w:rsid w:val="00B50DB2"/>
    <w:rsid w:val="00B72BC2"/>
    <w:rsid w:val="00B91FA3"/>
    <w:rsid w:val="00BD69D1"/>
    <w:rsid w:val="00BE6557"/>
    <w:rsid w:val="00C96C06"/>
    <w:rsid w:val="00D24521"/>
    <w:rsid w:val="00D6580E"/>
    <w:rsid w:val="00D8038C"/>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F2C4D0A0B2F74E4DAB481A40317FB397">
    <w:name w:val="F2C4D0A0B2F74E4DAB481A40317FB397"/>
    <w:rsid w:val="008B48D1"/>
    <w:pPr>
      <w:bidi/>
      <w:spacing w:after="160" w:line="259" w:lineRule="auto"/>
    </w:pPr>
  </w:style>
  <w:style w:type="paragraph" w:customStyle="1" w:styleId="06D0DBDBAAB840D4AC8B7355FC71A7C2">
    <w:name w:val="06D0DBDBAAB840D4AC8B7355FC71A7C2"/>
    <w:rsid w:val="008B48D1"/>
    <w:pPr>
      <w:bidi/>
      <w:spacing w:after="160" w:line="259" w:lineRule="auto"/>
    </w:pPr>
  </w:style>
  <w:style w:type="paragraph" w:customStyle="1" w:styleId="9101A8C03B2B4AD4A716AEFFB125E64D">
    <w:name w:val="9101A8C03B2B4AD4A716AEFFB125E64D"/>
    <w:rsid w:val="008B48D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בית משפט </RoleName>
        <IsSubProceeding>FALSE</IsSubProceeding>
        <FullName>יקיר יונה</FullName>
        <FirstName>יקיר</FirstName>
        <LastName>יונה</LastName>
        <PartyPropertyName/>
        <AuthenticationTypeAndNumber>ת"ז 300561586</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247399688</CasePartyID>
        <PartyTypeID>4</PartyTypeID>
        <ActivityStatusID>1</ActivityStatusID>
        <PartyAliasID>101</PartyAliasID>
        <PartyAliasName>עד בית משפט</PartyAliasName>
        <LegalEntityID>70413995</LegalEntityID>
        <CaseLegalEntityID>121803351</CaseLegalEntityID>
        <AuthenticationTypeID>1</AuthenticationTypeID>
        <AuthenticationTypeName>ת"ז</AuthenticationTypeName>
        <LegalEntityNumber>300561586</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נתניה </FullAddress>
        <MotionID>0</MotionID>
        <CasePleaID>0</CasePleaID>
        <FatherName>חיים</FatherName>
        <LinkedCaseID>0</LinkedCaseID>
        <PartyID>1</PartyID>
        <CasePartyCategoryID>2</CasePartyCategoryID>
        <LegalEntityAddressID>87126667</LegalEntityAddressID>
        <GrandfatherName/>
        <DrivingLicenseNumber>8496568</DrivingLicenseNumber>
        <PleaTypeID>8</PleaTypeID>
        <GroupPartyAlias/>
        <IsConverted>false</IsConverted>
        <LegalEntityRegisteredNameID>4867222</LegalEntityRegisteredNameID>
        <LegalEntityNameID>93884310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יקיר יונה</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לי פינקו</FullName>
        <FirstName>לי</FirstName>
        <LastName>פינקו</LastName>
        <PartyPropertyName/>
        <AuthenticationTypeAndNumber>ת"ז 022100986</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249565973</CasePartyID>
        <PartyTypeID>4</PartyTypeID>
        <ActivityStatusID>1</ActivityStatusID>
        <PartyAliasID>101</PartyAliasID>
        <PartyAliasName>עד בית משפט</PartyAliasName>
        <LegalEntityID>79294184</LegalEntityID>
        <CaseLegalEntityID>122455558</CaseLegalEntityID>
        <AuthenticationTypeID>1</AuthenticationTypeID>
        <AuthenticationTypeName>ת"ז</AuthenticationTypeName>
        <LegalEntityNumber>022100986</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עמק חפר </FullAddress>
        <MotionID>0</MotionID>
        <CasePleaID>0</CasePleaID>
        <FatherName>יאיר</FatherName>
        <LinkedCaseID>0</LinkedCaseID>
        <PartyID>1</PartyID>
        <CasePartyCategoryID>2</CasePartyCategoryID>
        <LegalEntityAddressID>87330446</LegalEntityAddressID>
        <PleaTypeID>8</PleaTypeID>
        <GroupPartyAlias/>
        <IsConverted>false</IsConverted>
        <LegalEntityRegisteredNameID>9285450</LegalEntityRegisteredNameID>
        <LegalEntityNameID>94135613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 פינקו</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יוסף פינקו</FullName>
        <FirstName>יוסף</FirstName>
        <LastName>פינקו</LastName>
        <PartyPropertyName/>
        <AuthenticationTypeAndNumber>ת"ז 027390590</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249566023</CasePartyID>
        <PartyTypeID>4</PartyTypeID>
        <ActivityStatusID>1</ActivityStatusID>
        <PartyAliasID>101</PartyAliasID>
        <PartyAliasName>עד בית משפט</PartyAliasName>
        <LegalEntityID>77580568</LegalEntityID>
        <CaseLegalEntityID>122455582</CaseLegalEntityID>
        <AuthenticationTypeID>1</AuthenticationTypeID>
        <AuthenticationTypeName>ת"ז</AuthenticationTypeName>
        <LegalEntityNumber>027390590</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עמק חפר </FullAddress>
        <MotionID>0</MotionID>
        <CasePleaID>0</CasePleaID>
        <FatherName>בנו</FatherName>
        <LinkedCaseID>0</LinkedCaseID>
        <PartyID>1</PartyID>
        <CasePartyCategoryID>2</CasePartyCategoryID>
        <LegalEntityAddressID>87330452</LegalEntityAddressID>
        <PleaTypeID>8</PleaTypeID>
        <GroupPartyAlias/>
        <IsConverted>false</IsConverted>
        <LegalEntityRegisteredNameID>7949334</LegalEntityRegisteredNameID>
        <LegalEntityNameID>94135625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פינקו</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מתן פינקו</FullName>
        <FirstName>מתן</FirstName>
        <LastName>פינקו</LastName>
        <PartyPropertyName/>
        <AuthenticationTypeAndNumber>ת"ז 216367011</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250485394</CasePartyID>
        <PartyTypeID>4</PartyTypeID>
        <ActivityStatusID>1</ActivityStatusID>
        <PartyAliasID>101</PartyAliasID>
        <PartyAliasName>עד בית משפט</PartyAliasName>
        <LegalEntityID>80963916</LegalEntityID>
        <CaseLegalEntityID>122738145</CaseLegalEntityID>
        <AuthenticationTypeID>1</AuthenticationTypeID>
        <AuthenticationTypeName>ת"ז</AuthenticationTypeName>
        <LegalEntityNumber>216367011</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לוד </FullAddress>
        <MotionID>0</MotionID>
        <CasePleaID>0</CasePleaID>
        <FatherName>יוסף</FatherName>
        <LinkedCaseID>0</LinkedCaseID>
        <PartyID>1</PartyID>
        <CasePartyCategoryID>2</CasePartyCategoryID>
        <LegalEntityAddressID>87419488</LegalEntityAddressID>
        <PleaTypeID>8</PleaTypeID>
        <GroupPartyAlias/>
        <IsConverted>false</IsConverted>
        <LegalEntityRegisteredNameID>10192694</LegalEntityRegisteredNameID>
        <LegalEntityNameID>94246211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מתן פינקו</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265371301</CasePartyID>
        <PartyTypeID>3</PartyTypeID>
        <ActivityStatusID>1</ActivityStatusID>
        <LegalEntityID>74409308</LegalEntityID>
        <CaseLegalEntityID>127481862</CaseLegalEntityID>
        <AssistantRoleID>101</AssistantRoleID>
        <AuthenticationTypeID>13</AuthenticationTypeID>
        <AuthenticationTypeName>משרדי ממשלה</AuthenticationTypeName>
        <LegalEntityNumber>570001686</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פאדי חמדאן</FullName>
        <FirstName>פאדי</FirstName>
        <LastName>חמדאן</LastName>
        <PartyPropertyName/>
        <AuthenticationTypeAndNumber>מ.ר. 43312</AuthenticationTypeAndNumber>
        <RepresentatedOrRepresentativesNames>חליל בראקע</RepresentatedOrRepresentativesNames>
        <RepresentatedOrRepresentativesCount>1</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225845009</CasePartyID>
        <PartyTypeID>2</PartyTypeID>
        <ActivityStatusID>1</ActivityStatusID>
        <PartyAliasID>32</PartyAliasID>
        <PartyAliasName>בא כוח נאשמים</PartyAliasName>
        <LegalEntityID>418798</LegalEntityID>
        <CaseLegalEntityID>115125463</CaseLegalEntityID>
        <AuthenticationTypeID>4</AuthenticationTypeID>
        <AuthenticationTypeName>מ.ר.</AuthenticationTypeName>
        <LegalEntityNumber>43312</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טירה תאור כתובת: ת.ד 1701  טירה המשולש יישוב: טירה</FullAddress>
        <MotionID>0</MotionID>
        <CasePleaID>0</CasePleaID>
        <LinkedCaseID>0</LinkedCaseID>
        <PartyID>2</PartyID>
        <CasePartyCategoryID>2</CasePartyCategoryID>
        <LegalEntityAddressID>87371414</LegalEntityAddressID>
        <PleaTypeID>8</PleaTypeID>
        <LawyerOfficeName>משרד עו"ד: פאדי חמדאן</LawyerOfficeName>
        <LawyerOfficeID>459442</LawyerOfficeID>
        <GroupPartyAlias/>
        <IsConverted>false</IsConverted>
        <LegalEntityNameID>39782</LegalEntityNameID>
        <RepresentatedNamesOfAssistant/>
        <LegalEntityTypeID>4</LegalEntityTypeID>
        <IsVerdictExists>false</IsVerdictExists>
        <IsAsirAzir>false</IsAsirAzir>
        <IsPublicationProhibited>false</IsPublicationProhibited>
        <PublicationProhibitedFullName>פאדי חמדאן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שקד פינקו</FullName>
        <FirstName>שקד</FirstName>
        <LastName>פינקו</LastName>
        <PartyPropertyName/>
        <AuthenticationTypeAndNumber>ת"ז 327916011</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249565894</CasePartyID>
        <PartyTypeID>3</PartyTypeID>
        <ActivityStatusID>1</ActivityStatusID>
        <OrdinalNumber>1</OrdinalNumber>
        <LegalEntityID>80918127</LegalEntityID>
        <CaseLegalEntityID>122455524</CaseLegalEntityID>
        <AssistantRoleID>12</AssistantRoleID>
        <AuthenticationTypeID>1</AuthenticationTypeID>
        <AuthenticationTypeName>ת"ז</AuthenticationTypeName>
        <LegalEntityNumber>327916011</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האפיק 323 בארותיים </FullAddress>
        <MotionID>0</MotionID>
        <CasePleaID>0</CasePleaID>
        <FatherName>יוסף</FatherName>
        <LinkedCaseID>0</LinkedCaseID>
        <PartyID>1</PartyID>
        <CasePartyCategoryID>2</CasePartyCategoryID>
        <LegalEntityAddressID>88892600</LegalEntityAddressID>
        <PleaTypeID>8</PleaTypeID>
        <GroupPartyAlias/>
        <IsConverted>false</IsConverted>
        <LegalEntityRegisteredNameID>10165436</LegalEntityRegisteredNameID>
        <LegalEntityNameID>96068870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שקד פינקו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225751517</CasePartyID>
        <PartyTypeID>1</PartyTypeID>
        <ActivityStatusID>1</ActivityStatusID>
        <PartyAliasID>11</PartyAliasID>
        <PartyAliasName>מאשימה</PartyAliasName>
        <OrdinalNumber>1</OrdinalNumber>
        <LegalEntityID>4</LegalEntityID>
        <CaseLegalEntityID>115098150</CaseLegalEntityID>
        <AuthenticationTypeID>41</AuthenticationTypeID>
        <AuthenticationTypeName>מדינת ישראל </AuthenticationTypeName>
        <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225751518</CasePartyID>
        <PartyTypeID>2</PartyTypeID>
        <ActivityStatusID>1</ActivityStatusID>
        <PartyAliasID>30</PartyAliasID>
        <PartyAliasName>בא כוח מאשימה</PartyAliasName>
        <OrdinalNumber>1</OrdinalNumber>
        <LegalEntityID>398656</LegalEntityID>
        <CaseLegalEntityID>115098151</CaseLegalEntityID>
        <AuthenticationTypeID>4</AuthenticationTypeID>
        <AuthenticationTypeName>מ.ר.</AuthenticationTypeName>
        <LegalEntityNumber>19202</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חליל בראקע (עציר)</FullName>
        <FirstName>חליל</FirstName>
        <LastName>בראקע</LastName>
        <PartyPropertyID>6</PartyPropertyID>
        <PartyPropertyName/>
        <AuthenticationTypeAndNumber>ת"ז 405636994</AuthenticationTypeAndNumber>
        <RepresentatedOrRepresentativesNames>פאדי חמדאן</RepresentatedOrRepresentativesNames>
        <RepresentatedOrRepresentativesCount>1</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225751519</CasePartyID>
        <PartyTypeID>1</PartyTypeID>
        <ActivityStatusID>1</ActivityStatusID>
        <PartyAliasID>13</PartyAliasID>
        <PartyAliasName>נאשם</PartyAliasName>
        <OrdinalNumber>1</OrdinalNumber>
        <LegalEntityID>79719741</LegalEntityID>
        <CaseLegalEntityID>115098152</CaseLegalEntityID>
        <AuthenticationTypeID>1</AuthenticationTypeID>
        <AuthenticationTypeName>ת"ז</AuthenticationTypeName>
        <LegalEntityNumber>405636994</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MotionID>0</MotionID>
        <CasePleaID>0</CasePleaID>
        <FatherName>עותמאן</FatherName>
        <LinkedCaseID>0</LinkedCaseID>
        <PartyID>2</PartyID>
        <CasePartyCategoryID>2</CasePartyCategoryID>
        <PleaTypeID>8</PleaTypeID>
        <GroupPartyAlias>נאשמים</GroupPartyAlias>
        <IsConverted>false</IsConverted>
        <LegalEntityRegisteredNameID>9494154</LegalEntityRegisteredNameID>
        <LegalEntityNameID>91290848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חליל בראקע (עציר)</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יוסף מליחאת</FullName>
        <FirstName>יוסף</FirstName>
        <LastName>מליחאת</LastName>
        <PartyPropertyName/>
        <AuthenticationTypeAndNumber>ת"ז 412843781</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245733854</CasePartyID>
        <PartyTypeID>4</PartyTypeID>
        <ActivityStatusID>1</ActivityStatusID>
        <PartyAliasID>71</PartyAliasID>
        <PartyAliasName>עד מאשימה</PartyAliasName>
        <OrdinalNumber>23</OrdinalNumber>
        <LegalEntityID>80730861</LegalEntityID>
        <CaseLegalEntityID>121277264</CaseLegalEntityID>
        <AuthenticationTypeID>1</AuthenticationTypeID>
        <AuthenticationTypeName>ת"ז</AuthenticationTypeName>
        <LegalEntityNumber>412843781</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יריחו</FullAddress>
        <MotionID>0</MotionID>
        <CasePleaID>0</CasePleaID>
        <FatherName>סלימאן</FatherName>
        <LinkedCaseID>0</LinkedCaseID>
        <PartyID>1</PartyID>
        <CasePartyCategoryID>2</CasePartyCategoryID>
        <LegalEntityAddressID>86971778</LegalEntityAddressID>
        <PleaTypeID>8</PleaTypeID>
        <GroupPartyAlias/>
        <IsConverted>false</IsConverted>
        <LegalEntityRegisteredNameID>10060997</LegalEntityRegisteredNameID>
        <LegalEntityNameID>93685005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מליחאת</PublicationProhibitedFullName>
      </CaseParties>
    </CasePartiesSelectionDS>
    <DecisionName>החלטה  שניתנה ע"י  עמי קובו</DecisionName>
    <CourtDisplayName>בית המשפט המחוזי מרכז-לוד</CourtDisplayName>
    <IsCaseJudgePanel>true</IsCaseJudgePanel>
    <DecisionSignatureDate>2024-01-31T12:43:07.6430164+02:00</DecisionSignatureDate>
    <OpenCaseDate>2021-04-28T09:56:00+03:00</OpenCaseDate>
    <ExternalCaseNumber>336778/2021</ExternalCaseNumber>
    <DecisionTypeID>1</DecisionTypeID>
    <DecisionSignatureUserName>עמי קובו</DecisionSignatureUserName>
    <DecisionSignatureDateHebrew>2024-01-31T12:43:07.6430164+02:00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DecisionSignatureUserTitleName>
    <CaseName>מדינת ישראל נ' בראקע(עציר)</CaseName>
    <DecisionNumberInCase>16</DecisionNumberInCase>
  </dt_Decision>
  <dt_DecisionCase>
    <DecisionID>0</DecisionID>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בית משפט </RoleName>
        <IsSubProceeding>FALSE</IsSubProceeding>
        <FullName>יקיר יונה</FullName>
        <FirstName>יקיר</FirstName>
        <LastName>יונה</LastName>
        <PartyPropertyName/>
        <AuthenticationTypeAndNumber>ת"ז 300561586</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247399688</CasePartyID>
        <PartyTypeID>4</PartyTypeID>
        <ActivityStatusID>1</ActivityStatusID>
        <PartyAliasID>101</PartyAliasID>
        <PartyAliasName>עד בית משפט</PartyAliasName>
        <LegalEntityID>70413995</LegalEntityID>
        <CaseLegalEntityID>121803351</CaseLegalEntityID>
        <AuthenticationTypeID>1</AuthenticationTypeID>
        <AuthenticationTypeName>ת"ז</AuthenticationTypeName>
        <LegalEntityNumber>300561586</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נתניה </FullAddress>
        <MotionID>0</MotionID>
        <CasePleaID>0</CasePleaID>
        <FatherName>חיים</FatherName>
        <LinkedCaseID>0</LinkedCaseID>
        <PartyID>1</PartyID>
        <CasePartyCategoryID>2</CasePartyCategoryID>
        <LegalEntityAddressID>87126667</LegalEntityAddressID>
        <GrandfatherName/>
        <DrivingLicenseNumber>8496568</DrivingLicenseNumber>
        <PleaTypeID>8</PleaTypeID>
        <GroupPartyAlias/>
        <IsConverted>false</IsConverted>
        <LegalEntityRegisteredNameID>4867222</LegalEntityRegisteredNameID>
        <LegalEntityNameID>93884310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יקיר יונה</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לי פינקו</FullName>
        <FirstName>לי</FirstName>
        <LastName>פינקו</LastName>
        <PartyPropertyName/>
        <AuthenticationTypeAndNumber>ת"ז 022100986</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249565973</CasePartyID>
        <PartyTypeID>4</PartyTypeID>
        <ActivityStatusID>1</ActivityStatusID>
        <PartyAliasID>101</PartyAliasID>
        <PartyAliasName>עד בית משפט</PartyAliasName>
        <LegalEntityID>79294184</LegalEntityID>
        <CaseLegalEntityID>122455558</CaseLegalEntityID>
        <AuthenticationTypeID>1</AuthenticationTypeID>
        <AuthenticationTypeName>ת"ז</AuthenticationTypeName>
        <LegalEntityNumber>022100986</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עמק חפר </FullAddress>
        <MotionID>0</MotionID>
        <CasePleaID>0</CasePleaID>
        <FatherName>יאיר</FatherName>
        <LinkedCaseID>0</LinkedCaseID>
        <PartyID>1</PartyID>
        <CasePartyCategoryID>2</CasePartyCategoryID>
        <LegalEntityAddressID>87330446</LegalEntityAddressID>
        <PleaTypeID>8</PleaTypeID>
        <GroupPartyAlias/>
        <IsConverted>false</IsConverted>
        <LegalEntityRegisteredNameID>9285450</LegalEntityRegisteredNameID>
        <LegalEntityNameID>94135613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 פינקו</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יוסף פינקו</FullName>
        <FirstName>יוסף</FirstName>
        <LastName>פינקו</LastName>
        <PartyPropertyName/>
        <AuthenticationTypeAndNumber>ת"ז 027390590</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249566023</CasePartyID>
        <PartyTypeID>4</PartyTypeID>
        <ActivityStatusID>1</ActivityStatusID>
        <PartyAliasID>101</PartyAliasID>
        <PartyAliasName>עד בית משפט</PartyAliasName>
        <LegalEntityID>77580568</LegalEntityID>
        <CaseLegalEntityID>122455582</CaseLegalEntityID>
        <AuthenticationTypeID>1</AuthenticationTypeID>
        <AuthenticationTypeName>ת"ז</AuthenticationTypeName>
        <LegalEntityNumber>027390590</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עמק חפר </FullAddress>
        <MotionID>0</MotionID>
        <CasePleaID>0</CasePleaID>
        <FatherName>בנו</FatherName>
        <LinkedCaseID>0</LinkedCaseID>
        <PartyID>1</PartyID>
        <CasePartyCategoryID>2</CasePartyCategoryID>
        <LegalEntityAddressID>87330452</LegalEntityAddressID>
        <PleaTypeID>8</PleaTypeID>
        <GroupPartyAlias/>
        <IsConverted>false</IsConverted>
        <LegalEntityRegisteredNameID>7949334</LegalEntityRegisteredNameID>
        <LegalEntityNameID>94135625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פינקו</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מתן פינקו</FullName>
        <FirstName>מתן</FirstName>
        <LastName>פינקו</LastName>
        <PartyPropertyName/>
        <AuthenticationTypeAndNumber>ת"ז 216367011</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250485394</CasePartyID>
        <PartyTypeID>4</PartyTypeID>
        <ActivityStatusID>1</ActivityStatusID>
        <PartyAliasID>101</PartyAliasID>
        <PartyAliasName>עד בית משפט</PartyAliasName>
        <LegalEntityID>80963916</LegalEntityID>
        <CaseLegalEntityID>122738145</CaseLegalEntityID>
        <AuthenticationTypeID>1</AuthenticationTypeID>
        <AuthenticationTypeName>ת"ז</AuthenticationTypeName>
        <LegalEntityNumber>216367011</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לוד </FullAddress>
        <MotionID>0</MotionID>
        <CasePleaID>0</CasePleaID>
        <FatherName>יוסף</FatherName>
        <LinkedCaseID>0</LinkedCaseID>
        <PartyID>1</PartyID>
        <CasePartyCategoryID>2</CasePartyCategoryID>
        <LegalEntityAddressID>87419488</LegalEntityAddressID>
        <PleaTypeID>8</PleaTypeID>
        <GroupPartyAlias/>
        <IsConverted>false</IsConverted>
        <LegalEntityRegisteredNameID>10192694</LegalEntityRegisteredNameID>
        <LegalEntityNameID>94246211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מתן פינקו</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265371301</CasePartyID>
        <PartyTypeID>3</PartyTypeID>
        <ActivityStatusID>1</ActivityStatusID>
        <LegalEntityID>74409308</LegalEntityID>
        <CaseLegalEntityID>127481862</CaseLegalEntityID>
        <AssistantRoleID>101</AssistantRoleID>
        <AuthenticationTypeID>13</AuthenticationTypeID>
        <AuthenticationTypeName>משרדי ממשלה</AuthenticationTypeName>
        <LegalEntityNumber>570001686</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פאדי חמדאן</FullName>
        <FirstName>פאדי</FirstName>
        <LastName>חמדאן</LastName>
        <PartyPropertyName/>
        <AuthenticationTypeAndNumber>מ.ר. 43312</AuthenticationTypeAndNumber>
        <RepresentatedOrRepresentativesNames>חליל בראקע</RepresentatedOrRepresentativesNames>
        <RepresentatedOrRepresentativesCount>1</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225845009</CasePartyID>
        <PartyTypeID>2</PartyTypeID>
        <ActivityStatusID>1</ActivityStatusID>
        <PartyAliasID>32</PartyAliasID>
        <PartyAliasName>בא כוח נאשמים</PartyAliasName>
        <LegalEntityID>418798</LegalEntityID>
        <CaseLegalEntityID>115125463</CaseLegalEntityID>
        <AuthenticationTypeID>4</AuthenticationTypeID>
        <AuthenticationTypeName>מ.ר.</AuthenticationTypeName>
        <LegalEntityNumber>43312</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טירה תאור כתובת: ת.ד 1701  טירה המשולש יישוב: טירה</FullAddress>
        <MotionID>0</MotionID>
        <CasePleaID>0</CasePleaID>
        <LinkedCaseID>0</LinkedCaseID>
        <PartyID>2</PartyID>
        <CasePartyCategoryID>2</CasePartyCategoryID>
        <LegalEntityAddressID>87371414</LegalEntityAddressID>
        <PleaTypeID>8</PleaTypeID>
        <LawyerOfficeName>משרד עו"ד: פאדי חמדאן</LawyerOfficeName>
        <LawyerOfficeID>459442</LawyerOfficeID>
        <GroupPartyAlias/>
        <IsConverted>false</IsConverted>
        <LegalEntityNameID>39782</LegalEntityNameID>
        <RepresentatedNamesOfAssistant/>
        <LegalEntityTypeID>4</LegalEntityTypeID>
        <IsVerdictExists>false</IsVerdictExists>
        <IsAsirAzir>false</IsAsirAzir>
        <IsPublicationProhibited>false</IsPublicationProhibited>
        <PublicationProhibitedFullName>פאדי חמדאן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שקד פינקו</FullName>
        <FirstName>שקד</FirstName>
        <LastName>פינקו</LastName>
        <PartyPropertyName/>
        <AuthenticationTypeAndNumber>ת"ז 327916011</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249565894</CasePartyID>
        <PartyTypeID>3</PartyTypeID>
        <ActivityStatusID>1</ActivityStatusID>
        <OrdinalNumber>1</OrdinalNumber>
        <LegalEntityID>80918127</LegalEntityID>
        <CaseLegalEntityID>122455524</CaseLegalEntityID>
        <AssistantRoleID>12</AssistantRoleID>
        <AuthenticationTypeID>1</AuthenticationTypeID>
        <AuthenticationTypeName>ת"ז</AuthenticationTypeName>
        <LegalEntityNumber>327916011</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האפיק 323 בארותיים </FullAddress>
        <MotionID>0</MotionID>
        <CasePleaID>0</CasePleaID>
        <FatherName>יוסף</FatherName>
        <LinkedCaseID>0</LinkedCaseID>
        <PartyID>1</PartyID>
        <CasePartyCategoryID>2</CasePartyCategoryID>
        <LegalEntityAddressID>88892600</LegalEntityAddressID>
        <PleaTypeID>8</PleaTypeID>
        <GroupPartyAlias/>
        <IsConverted>false</IsConverted>
        <LegalEntityRegisteredNameID>10165436</LegalEntityRegisteredNameID>
        <LegalEntityNameID>96068870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שקד פינקו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225751517</CasePartyID>
        <PartyTypeID>1</PartyTypeID>
        <ActivityStatusID>1</ActivityStatusID>
        <PartyAliasID>11</PartyAliasID>
        <PartyAliasName>מאשימה</PartyAliasName>
        <OrdinalNumber>1</OrdinalNumber>
        <LegalEntityID>4</LegalEntityID>
        <CaseLegalEntityID>115098150</CaseLegalEntityID>
        <AuthenticationTypeID>41</AuthenticationTypeID>
        <AuthenticationTypeName>מדינת ישראל </AuthenticationTypeName>
        <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225751518</CasePartyID>
        <PartyTypeID>2</PartyTypeID>
        <ActivityStatusID>1</ActivityStatusID>
        <PartyAliasID>30</PartyAliasID>
        <PartyAliasName>בא כוח מאשימה</PartyAliasName>
        <OrdinalNumber>1</OrdinalNumber>
        <LegalEntityID>398656</LegalEntityID>
        <CaseLegalEntityID>115098151</CaseLegalEntityID>
        <AuthenticationTypeID>4</AuthenticationTypeID>
        <AuthenticationTypeName>מ.ר.</AuthenticationTypeName>
        <LegalEntityNumber>19202</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חליל בראקע (עציר)</FullName>
        <FirstName>חליל</FirstName>
        <LastName>בראקע</LastName>
        <PartyPropertyID>6</PartyPropertyID>
        <PartyPropertyName/>
        <AuthenticationTypeAndNumber>ת"ז 405636994</AuthenticationTypeAndNumber>
        <RepresentatedOrRepresentativesNames>פאדי חמדאן</RepresentatedOrRepresentativesNames>
        <RepresentatedOrRepresentativesCount>1</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225751519</CasePartyID>
        <PartyTypeID>1</PartyTypeID>
        <ActivityStatusID>1</ActivityStatusID>
        <PartyAliasID>13</PartyAliasID>
        <PartyAliasName>נאשם</PartyAliasName>
        <OrdinalNumber>1</OrdinalNumber>
        <LegalEntityID>79719741</LegalEntityID>
        <CaseLegalEntityID>115098152</CaseLegalEntityID>
        <AuthenticationTypeID>1</AuthenticationTypeID>
        <AuthenticationTypeName>ת"ז</AuthenticationTypeName>
        <LegalEntityNumber>405636994</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MotionID>0</MotionID>
        <CasePleaID>0</CasePleaID>
        <FatherName>עותמאן</FatherName>
        <LinkedCaseID>0</LinkedCaseID>
        <PartyID>2</PartyID>
        <CasePartyCategoryID>2</CasePartyCategoryID>
        <PleaTypeID>8</PleaTypeID>
        <GroupPartyAlias>נאשמים</GroupPartyAlias>
        <IsConverted>false</IsConverted>
        <LegalEntityRegisteredNameID>9494154</LegalEntityRegisteredNameID>
        <LegalEntityNameID>91290848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חליל בראקע (עציר)</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יוסף מליחאת</FullName>
        <FirstName>יוסף</FirstName>
        <LastName>מליחאת</LastName>
        <PartyPropertyName/>
        <AuthenticationTypeAndNumber>ת"ז 412843781</AuthenticationTypeAndNumber>
        <RepresentatedOrRepresentativesNames/>
        <RepresentatedOrRepresentativesCount>0</RepresentatedOrRepresentativesCount>
        <InvitedBy/>
        <CaseID>78288530</CaseID>
        <CaseJudicialPersonPresentationDS>
          <CaseJudicalPersonActive>
            <CaseID>78288530</CaseID>
            <JudicialPersonID>029737269@GOV.IL</JudicialPersonID>
            <JudicialPersonTypeID>1</JudicialPersonTypeID>
            <JudicialTypeID>3</JudicialTypeID>
            <IsChairman>true</IsChairman>
            <TreatmentStartDate>2021-05-03T09:53:13.547+03:00</TreatmentStartDate>
            <TreatmentFinishDate>9999-12-31T23:59:59.997+02:00</TreatmentFinishDate>
            <IdentificationCardNumber>029737269</IdentificationCardNumber>
            <DisplayName>עמי קובו</DisplayName>
            <JudicialTypeName>הרכב שופטים</JudicialTypeName>
            <CaseJudicialGroupNumber>456755</CaseJudicialGroupNumber>
            <FirstName>עמי</FirstName>
            <LastName>קובו</LastName>
            <JudicialPersonTitle>שופט</JudicialPersonTitle>
          </CaseJudicalPersonActive>
          <CaseJudicalPersonActive>
            <CaseID>78288530</CaseID>
            <JudicialPersonID>028615656@GOV.IL</JudicialPersonID>
            <JudicialPersonTypeID>1</JudicialPersonTypeID>
            <JudicialTypeID>3</JudicialTypeID>
            <IsChairman>false</IsChairman>
            <TreatmentStartDate>2021-05-03T09:53:13.547+03:00</TreatmentStartDate>
            <TreatmentFinishDate>9999-12-31T23:59:59.997+02:00</TreatmentFinishDate>
            <IdentificationCardNumber>028615656</IdentificationCardNumber>
            <DisplayName>מיכאל קרשן</DisplayName>
            <JudicialTypeName>הרכב שופטים</JudicialTypeName>
            <CaseJudicialGroupNumber>456755</CaseJudicialGroupNumber>
            <FirstName>מיכאל</FirstName>
            <LastName>קרשן</LastName>
            <JudicialPersonTitle>שופט</JudicialPersonTitle>
          </CaseJudicalPersonActive>
          <CaseJudicalPersonActive>
            <CaseID>78288530</CaseID>
            <JudicialPersonID>027781319@GOV.IL</JudicialPersonID>
            <JudicialPersonTypeID>1</JudicialPersonTypeID>
            <JudicialTypeID>3</JudicialTypeID>
            <IsChairman>false</IsChairman>
            <TreatmentStartDate>2021-05-03T09:53:13.547+03:00</TreatmentStartDate>
            <TreatmentFinishDate>9999-12-31T23:59:59.997+02:00</TreatmentFinishDate>
            <IdentificationCardNumber>027781319</IdentificationCardNumber>
            <DisplayName>מרב גרינברג</DisplayName>
            <JudicialTypeName>הרכב שופטים</JudicialTypeName>
            <CaseJudicialGroupNumber>456755</CaseJudicialGroupNumber>
            <FirstName>מרב</FirstName>
            <LastName>גרינברג</LastName>
            <JudicialPersonTitle>שופט</JudicialPersonTitle>
          </CaseJudicalPersonActive>
        </CaseJudicialPersonPresentationDS>
        <CasePartyID>245733854</CasePartyID>
        <PartyTypeID>4</PartyTypeID>
        <ActivityStatusID>1</ActivityStatusID>
        <PartyAliasID>71</PartyAliasID>
        <PartyAliasName>עד מאשימה</PartyAliasName>
        <OrdinalNumber>23</OrdinalNumber>
        <LegalEntityID>80730861</LegalEntityID>
        <CaseLegalEntityID>121277264</CaseLegalEntityID>
        <AuthenticationTypeID>1</AuthenticationTypeID>
        <AuthenticationTypeName>ת"ז</AuthenticationTypeName>
        <LegalEntityNumber>412843781</LegalEntityNumber>
        <IsMainPartyType>true</IsMainPartyType>
        <CaseDisplayIdentifier>60563-04-21</CaseDisplayIdentifier>
        <CaseTypeID>10284</CaseTypeID>
        <CaseTypeName>תיק פלילי פשע חמור עדות קטין נפגע עבירה (תפח"ע)</CaseTypeName>
        <CaseName>מדינת ישראל נ' בראקע(עציר)</CaseName>
        <FullAddress>.  יריחו</FullAddress>
        <MotionID>0</MotionID>
        <CasePleaID>0</CasePleaID>
        <FatherName>סלימאן</FatherName>
        <LinkedCaseID>0</LinkedCaseID>
        <PartyID>1</PartyID>
        <CasePartyCategoryID>2</CasePartyCategoryID>
        <LegalEntityAddressID>86971778</LegalEntityAddressID>
        <PleaTypeID>8</PleaTypeID>
        <GroupPartyAlias/>
        <IsConverted>false</IsConverted>
        <LegalEntityRegisteredNameID>10060997</LegalEntityRegisteredNameID>
        <LegalEntityNameID>93685005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מליחאת</PublicationProhibitedFullName>
      </CaseParties>
    </CasePartiesSelectionDS>
    <CaseName>מדינת ישראל נ' בראקע(עציר)</CaseName>
    <CaseDisplayIdentifier>60563-04-21</CaseDisplayIdentifier>
    <CaseTypeShortName>תפח"ע</CaseTypeShortName>
  </dt_DecisionCase>
  <dt_DecisionJudgePanel>
    <JudgeID>029737269@GOV.IL</JudgeID>
    <DisplayName>קובו</DisplayName>
    <RoleName>שופט</RoleName>
    <UserTitleName>שופט</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09-7932132</Fax>
    <Phone>09-7932132</Phone>
    <AddressDesc>תאור כתובת: ת.ד 1701  טירה המשולש יישוב: טירה</AddressDesc>
    <PartyID>2</PartyID>
    <PartyTypeID>2</PartyTypeID>
    <DecisionID>0</DecisionID>
    <StreetName>..</StreetName>
    <ZipCode>44915</ZipCode>
    <CityName>טירה</CityName>
    <FullName>פאדי חמדאן</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FullName>חליל בראקע</FullName>
    <IsPublicationProhibited>false</IsPublicationProhibited>
  </dt_LegalEntityDetails>
  <dt_LegalEntityDetails>
    <Fax/>
    <Phone/>
    <AddressDesc/>
    <PartyID>1</PartyID>
    <PartyTypeID>3</PartyTypeID>
    <DecisionID>0</DecisionID>
    <AssistantRoleID>12</AssistantRoleID>
    <StreetName>האפיק 323</StreetName>
    <CityName>בארותיים</CityName>
    <FullName>שקד פינקו</FullName>
    <Email/>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עמי קובו, שופט מיכאל קרשן, שופטת מרב גרינברג</CaseJudicalPerson>
  </dt_CaseJudicalPersonActive>
  <dt_Sitting>
    <PreviousMeetingDate>2024-01-23T08:30:00+02:00</PreviousMeetingDate>
    <PreviousSittingTypeID>15</PreviousSittingTypeID>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E35E2-0881-4D0B-AAC9-04AFD7E1A714}">
  <ds:schemaRefs/>
</ds:datastoreItem>
</file>

<file path=customXml/itemProps2.xml><?xml version="1.0" encoding="utf-8"?>
<ds:datastoreItem xmlns:ds="http://schemas.openxmlformats.org/officeDocument/2006/customXml" ds:itemID="{016DADE2-EA75-4D09-A17B-AAEEDFB2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3580</Words>
  <Characters>17905</Characters>
  <Application>Microsoft Office Word</Application>
  <DocSecurity>0</DocSecurity>
  <Lines>149</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2024-07-28T08:35:00Z</dcterms:created>
  <dcterms:modified xsi:type="dcterms:W3CDTF">2024-07-28T08:35:00Z</dcterms:modified>
</cp:coreProperties>
</file>